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83" w:rsidRPr="005702A7" w:rsidRDefault="001B0583" w:rsidP="001C5A1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sz w:val="28"/>
          <w:szCs w:val="28"/>
          <w:u w:val="single"/>
          <w:bdr w:val="none" w:sz="0" w:space="0" w:color="auto" w:frame="1"/>
          <w:lang w:eastAsia="pt-BR"/>
        </w:rPr>
      </w:pPr>
      <w:r w:rsidRPr="005702A7">
        <w:rPr>
          <w:rFonts w:ascii="inherit" w:eastAsia="Times New Roman" w:hAnsi="inherit" w:cs="Arial"/>
          <w:b/>
          <w:bCs/>
          <w:color w:val="444444"/>
          <w:sz w:val="28"/>
          <w:szCs w:val="28"/>
          <w:u w:val="single"/>
          <w:bdr w:val="none" w:sz="0" w:space="0" w:color="auto" w:frame="1"/>
          <w:lang w:eastAsia="pt-BR"/>
        </w:rPr>
        <w:t xml:space="preserve">PROCEDIMENTOS PARA </w:t>
      </w:r>
      <w:r w:rsidR="004D7EE1" w:rsidRPr="005702A7">
        <w:rPr>
          <w:rFonts w:ascii="inherit" w:eastAsia="Times New Roman" w:hAnsi="inherit" w:cs="Arial"/>
          <w:b/>
          <w:bCs/>
          <w:color w:val="444444"/>
          <w:sz w:val="28"/>
          <w:szCs w:val="28"/>
          <w:u w:val="single"/>
          <w:bdr w:val="none" w:sz="0" w:space="0" w:color="auto" w:frame="1"/>
          <w:lang w:eastAsia="pt-BR"/>
        </w:rPr>
        <w:t>CELEBRAÇÃO DE CONVÊNIO</w:t>
      </w:r>
      <w:r w:rsidR="00F65B4B">
        <w:rPr>
          <w:rFonts w:ascii="inherit" w:eastAsia="Times New Roman" w:hAnsi="inherit" w:cs="Arial"/>
          <w:b/>
          <w:bCs/>
          <w:color w:val="444444"/>
          <w:sz w:val="28"/>
          <w:szCs w:val="28"/>
          <w:u w:val="single"/>
          <w:bdr w:val="none" w:sz="0" w:space="0" w:color="auto" w:frame="1"/>
          <w:lang w:eastAsia="pt-BR"/>
        </w:rPr>
        <w:t>/CONTRATO EM GERAL</w:t>
      </w:r>
    </w:p>
    <w:p w:rsidR="001C5A14" w:rsidRPr="001B0583" w:rsidRDefault="001C5A14" w:rsidP="001C5A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pt-BR"/>
        </w:rPr>
      </w:pPr>
    </w:p>
    <w:p w:rsidR="004D7EE1" w:rsidRPr="003C6D6E" w:rsidRDefault="004D7EE1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444444"/>
          <w:sz w:val="24"/>
          <w:szCs w:val="24"/>
          <w:bdr w:val="none" w:sz="0" w:space="0" w:color="auto" w:frame="1"/>
          <w:lang w:eastAsia="pt-BR"/>
        </w:rPr>
      </w:pPr>
      <w:r w:rsidRPr="003C6D6E">
        <w:rPr>
          <w:rFonts w:ascii="Verdana" w:eastAsia="Times New Roman" w:hAnsi="Verdana" w:cs="Arial"/>
          <w:color w:val="444444"/>
          <w:sz w:val="24"/>
          <w:szCs w:val="24"/>
          <w:bdr w:val="none" w:sz="0" w:space="0" w:color="auto" w:frame="1"/>
          <w:lang w:eastAsia="pt-BR"/>
        </w:rPr>
        <w:t>1 – Memorando ou Ofício de encaminhamento do Projeto, assinado pelo Coordenador, endereçado ao Magnífico Reitor, justificando a necessidade de celebração do mesmo.</w:t>
      </w:r>
    </w:p>
    <w:p w:rsidR="001B0583" w:rsidRPr="003C6D6E" w:rsidRDefault="001B0583" w:rsidP="001B058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FF0000"/>
          <w:sz w:val="24"/>
          <w:szCs w:val="24"/>
          <w:bdr w:val="none" w:sz="0" w:space="0" w:color="auto" w:frame="1"/>
          <w:lang w:eastAsia="pt-BR"/>
        </w:rPr>
      </w:pPr>
    </w:p>
    <w:p w:rsidR="004D7EE1" w:rsidRPr="003C6D6E" w:rsidRDefault="001B0583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2 – Projeto </w:t>
      </w:r>
      <w:r w:rsidR="004D7EE1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devidamente </w:t>
      </w:r>
      <w:r w:rsidR="00FC4FCD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datado e </w:t>
      </w:r>
      <w:r w:rsidR="004D7EE1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assinado pelo Coordenador</w:t>
      </w:r>
      <w:r w:rsidR="00FC4FCD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(quando houver) </w:t>
      </w:r>
      <w:r w:rsidR="004D7EE1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aprovado em reunião da Unidade/Órgão do interessado, bem como ATA de aprovação devidamente autenticada (confere com o original) conforme §4 do art. 22 da Lei nº 9.784/1999 e jurisprudência do TCU. Em caso de </w:t>
      </w:r>
      <w:r w:rsidR="004D7EE1" w:rsidRPr="003C6D6E">
        <w:rPr>
          <w:rFonts w:ascii="Verdana" w:eastAsia="Times New Roman" w:hAnsi="Verdana" w:cs="Arial"/>
          <w:i/>
          <w:color w:val="000000"/>
          <w:sz w:val="24"/>
          <w:szCs w:val="24"/>
          <w:bdr w:val="none" w:sz="0" w:space="0" w:color="auto" w:frame="1"/>
          <w:lang w:eastAsia="pt-BR"/>
        </w:rPr>
        <w:t>“ad referendum”</w:t>
      </w:r>
      <w:r w:rsidR="004D7EE1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o Coordenador terá o prazo de um (01) mês para </w:t>
      </w:r>
      <w:r w:rsidR="006474CB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apresentar a ATA de reunião para que o </w:t>
      </w:r>
      <w:r w:rsidR="004D7EE1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</w:t>
      </w:r>
      <w:r w:rsidR="006474CB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não tenha sua sequência interrompida.</w:t>
      </w:r>
    </w:p>
    <w:p w:rsidR="006474CB" w:rsidRPr="003C6D6E" w:rsidRDefault="006474C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474CB" w:rsidRPr="003C6D6E" w:rsidRDefault="006474C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3 – Minuta do Instrumento Jurídico em 03 (três) vias para ser an</w:t>
      </w:r>
      <w:r w:rsidR="00FC4FCD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alisada pela Procuradoria Geral.</w:t>
      </w:r>
    </w:p>
    <w:p w:rsidR="00FC4FCD" w:rsidRPr="003C6D6E" w:rsidRDefault="00FC4FCD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6D6E" w:rsidRPr="003C6D6E" w:rsidRDefault="00FC4FCD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4 – Plano de Trabalho</w:t>
      </w:r>
      <w:r w:rsid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(em 03 vias), </w:t>
      </w:r>
      <w:r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conforme art. 116 da Lei nº 8.666/93, § 1º</w:t>
      </w:r>
      <w:r w:rsidR="003C6D6E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, o qual deverá constar as seguintes informações:</w:t>
      </w:r>
    </w:p>
    <w:p w:rsidR="003C6D6E" w:rsidRDefault="003C6D6E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3C6D6E" w:rsidRPr="003C6D6E" w:rsidRDefault="003C6D6E" w:rsidP="003C6D6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color w:val="555555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t-BR"/>
        </w:rPr>
        <w:tab/>
      </w:r>
      <w:r w:rsidRPr="005702A7"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  <w:t>- “</w:t>
      </w:r>
      <w:r w:rsidRPr="005702A7">
        <w:rPr>
          <w:rFonts w:ascii="Verdana" w:eastAsia="Times New Roman" w:hAnsi="Verdana" w:cs="Times New Roman"/>
          <w:b/>
          <w:bCs/>
          <w:i/>
          <w:color w:val="555555"/>
          <w:sz w:val="20"/>
          <w:szCs w:val="20"/>
          <w:bdr w:val="none" w:sz="0" w:space="0" w:color="auto" w:frame="1"/>
          <w:lang w:eastAsia="pt-BR"/>
        </w:rPr>
        <w:t>Art. 116.</w:t>
      </w:r>
      <w:r w:rsidRPr="003C6D6E">
        <w:rPr>
          <w:rFonts w:ascii="Verdana" w:eastAsia="Times New Roman" w:hAnsi="Verdana" w:cs="Times New Roman"/>
          <w:i/>
          <w:color w:val="555555"/>
          <w:sz w:val="20"/>
          <w:szCs w:val="20"/>
          <w:lang w:eastAsia="pt-BR"/>
        </w:rPr>
        <w:t> Aplicam-se as disposições desta Lei, no que couber, aos convênios, acordos, ajustes e outros instrumentos congêneres celebrados por órgãos e entidades da Administração.</w:t>
      </w:r>
    </w:p>
    <w:p w:rsidR="003C6D6E" w:rsidRPr="003C6D6E" w:rsidRDefault="003C6D6E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 w:rsidRPr="005702A7">
        <w:rPr>
          <w:rFonts w:ascii="Verdana" w:eastAsia="Times New Roman" w:hAnsi="Verdana" w:cs="Times New Roman"/>
          <w:b/>
          <w:bCs/>
          <w:i/>
          <w:color w:val="222222"/>
          <w:sz w:val="20"/>
          <w:szCs w:val="20"/>
          <w:bdr w:val="none" w:sz="0" w:space="0" w:color="auto" w:frame="1"/>
          <w:lang w:eastAsia="pt-BR"/>
        </w:rPr>
        <w:t xml:space="preserve">§ 1º - </w:t>
      </w:r>
      <w:r w:rsidRPr="003C6D6E"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 A celebração de convênio, acordo ou ajuste pelos órgãos ou entidades da Administração Pública depende de prévia aprovação de competente plano de trabalho proposto pela organização interessada, o qual deverá conter, no mínimo, as seguintes informações:</w:t>
      </w:r>
    </w:p>
    <w:p w:rsidR="003C6D6E" w:rsidRPr="003C6D6E" w:rsidRDefault="003C6D6E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 w:rsidRPr="005702A7">
        <w:rPr>
          <w:rFonts w:ascii="Verdana" w:eastAsia="Times New Roman" w:hAnsi="Verdana" w:cs="Times New Roman"/>
          <w:b/>
          <w:bCs/>
          <w:i/>
          <w:color w:val="222222"/>
          <w:sz w:val="20"/>
          <w:szCs w:val="20"/>
          <w:bdr w:val="none" w:sz="0" w:space="0" w:color="auto" w:frame="1"/>
          <w:lang w:eastAsia="pt-BR"/>
        </w:rPr>
        <w:t>I </w:t>
      </w:r>
      <w:r w:rsidRPr="003C6D6E"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- identificação do objeto a ser executado;</w:t>
      </w:r>
    </w:p>
    <w:p w:rsidR="003C6D6E" w:rsidRPr="003C6D6E" w:rsidRDefault="003C6D6E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 w:rsidRPr="005702A7">
        <w:rPr>
          <w:rFonts w:ascii="Verdana" w:eastAsia="Times New Roman" w:hAnsi="Verdana" w:cs="Times New Roman"/>
          <w:b/>
          <w:bCs/>
          <w:i/>
          <w:color w:val="222222"/>
          <w:sz w:val="20"/>
          <w:szCs w:val="20"/>
          <w:bdr w:val="none" w:sz="0" w:space="0" w:color="auto" w:frame="1"/>
          <w:lang w:eastAsia="pt-BR"/>
        </w:rPr>
        <w:t>II </w:t>
      </w:r>
      <w:r w:rsidRPr="003C6D6E"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- metas a serem atingidas;</w:t>
      </w:r>
    </w:p>
    <w:p w:rsidR="003C6D6E" w:rsidRPr="003C6D6E" w:rsidRDefault="003C6D6E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 w:rsidRPr="005702A7">
        <w:rPr>
          <w:rFonts w:ascii="Verdana" w:eastAsia="Times New Roman" w:hAnsi="Verdana" w:cs="Times New Roman"/>
          <w:b/>
          <w:bCs/>
          <w:i/>
          <w:color w:val="222222"/>
          <w:sz w:val="20"/>
          <w:szCs w:val="20"/>
          <w:bdr w:val="none" w:sz="0" w:space="0" w:color="auto" w:frame="1"/>
          <w:lang w:eastAsia="pt-BR"/>
        </w:rPr>
        <w:t>III </w:t>
      </w:r>
      <w:r w:rsidRPr="003C6D6E"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- etapas ou fases de execução;</w:t>
      </w:r>
    </w:p>
    <w:p w:rsidR="003C6D6E" w:rsidRDefault="003C6D6E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 w:rsidRPr="005702A7">
        <w:rPr>
          <w:rFonts w:ascii="Verdana" w:eastAsia="Times New Roman" w:hAnsi="Verdana" w:cs="Times New Roman"/>
          <w:b/>
          <w:bCs/>
          <w:i/>
          <w:color w:val="222222"/>
          <w:sz w:val="20"/>
          <w:szCs w:val="20"/>
          <w:bdr w:val="none" w:sz="0" w:space="0" w:color="auto" w:frame="1"/>
          <w:lang w:eastAsia="pt-BR"/>
        </w:rPr>
        <w:t>IV </w:t>
      </w:r>
      <w:r w:rsidRPr="003C6D6E"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- plano de apl</w:t>
      </w:r>
      <w:r w:rsidR="00F077C1"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icação dos recursos financeiros;</w:t>
      </w:r>
    </w:p>
    <w:p w:rsidR="00F077C1" w:rsidRDefault="00F077C1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i/>
          <w:color w:val="222222"/>
          <w:sz w:val="20"/>
          <w:szCs w:val="20"/>
          <w:lang w:eastAsia="pt-BR"/>
        </w:rPr>
        <w:t xml:space="preserve">V – </w:t>
      </w:r>
      <w:r w:rsidRPr="00F077C1"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cronograma de desembols</w:t>
      </w:r>
      <w:r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o;</w:t>
      </w:r>
    </w:p>
    <w:p w:rsidR="00F077C1" w:rsidRDefault="00F077C1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i/>
          <w:color w:val="222222"/>
          <w:sz w:val="20"/>
          <w:szCs w:val="20"/>
          <w:lang w:eastAsia="pt-BR"/>
        </w:rPr>
        <w:t xml:space="preserve">VI – </w:t>
      </w:r>
      <w:r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previsão de início e fim da execução do objeto, bem como da conclusão das etapas ou fases programadas;</w:t>
      </w:r>
    </w:p>
    <w:p w:rsidR="00F077C1" w:rsidRDefault="00F077C1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i/>
          <w:color w:val="222222"/>
          <w:sz w:val="20"/>
          <w:szCs w:val="20"/>
          <w:lang w:eastAsia="pt-BR"/>
        </w:rPr>
        <w:t xml:space="preserve">VII – </w:t>
      </w:r>
      <w:r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  <w:t>se o ajuste compreender OBRAS ou SERVIÇO de Engenharia, comprovação de que os recursos próprios para complementar a execução do objeto estão devidamente assegurados, salvo se o custo total do empreendimento recair sobre a entidade ou órgão descentralizador.</w:t>
      </w:r>
    </w:p>
    <w:p w:rsidR="00F077C1" w:rsidRDefault="00F077C1" w:rsidP="003C6D6E">
      <w:pPr>
        <w:spacing w:after="0" w:line="270" w:lineRule="atLeast"/>
        <w:ind w:firstLine="708"/>
        <w:rPr>
          <w:rFonts w:ascii="Verdana" w:eastAsia="Times New Roman" w:hAnsi="Verdana" w:cs="Times New Roman"/>
          <w:i/>
          <w:color w:val="222222"/>
          <w:sz w:val="20"/>
          <w:szCs w:val="20"/>
          <w:lang w:eastAsia="pt-BR"/>
        </w:rPr>
      </w:pPr>
    </w:p>
    <w:p w:rsidR="006474CB" w:rsidRPr="003C6D6E" w:rsidRDefault="001F52F2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5</w:t>
      </w:r>
      <w:r w:rsidR="006474CB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– Em caso de Convênios, Acordos, Protocolos e/ou quaisquer outros instrumentos a serem celebrados com Instituições estrangeiras, deverá ser providenciada a TRADUÇÃO </w:t>
      </w:r>
      <w:proofErr w:type="gramStart"/>
      <w:r w:rsidR="006474CB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PARA  A</w:t>
      </w:r>
      <w:proofErr w:type="gramEnd"/>
      <w:r w:rsidR="006474CB"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LÍNGUA PORTUGUESA, conforme previsto no Art. 224 do Código Civil e no art. 148 da Lei nº 6.015/73 (Lei de Registros Públicos), conforme discriminado:</w:t>
      </w:r>
    </w:p>
    <w:p w:rsidR="006474CB" w:rsidRDefault="006474C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6474CB" w:rsidRPr="003C6D6E" w:rsidRDefault="006474C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t-BR"/>
        </w:rPr>
        <w:tab/>
      </w:r>
      <w:r w:rsidRPr="003C6D6E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- </w:t>
      </w:r>
      <w:r w:rsidR="00072D72" w:rsidRPr="003C6D6E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t-BR"/>
        </w:rPr>
        <w:t>“</w:t>
      </w:r>
      <w:r w:rsidRPr="003C6D6E"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  <w:t>Art.224. Os documentos redigidos em Língua Estrangeira, serão traduzidos para o Português para ter efeitos legais no País (CC</w:t>
      </w:r>
      <w:r w:rsidR="00072D72" w:rsidRPr="003C6D6E"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  <w:t>).”</w:t>
      </w:r>
    </w:p>
    <w:p w:rsidR="0009355A" w:rsidRPr="003C6D6E" w:rsidRDefault="0009355A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09355A" w:rsidRPr="003C6D6E" w:rsidRDefault="0009355A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</w:pPr>
      <w:r w:rsidRPr="003C6D6E"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tab/>
        <w:t xml:space="preserve">- “Art.148. </w:t>
      </w:r>
      <w:r w:rsidR="00093622"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  <w:t>O</w:t>
      </w:r>
      <w:r w:rsidRPr="003C6D6E"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  <w:t>s títulos, documentos e papéis escritos em língua estrangeira, uma vez adotados os caracteres comuns, poderão ser registrados no original, para o efeito da sua conservação ou perpetuidade. Para produzirem efeitos legais no País e para valerem contra terceiros, deverão, entretanto, ser vertidos em vernáculo e registrada a tradução, o que também, se observará em relação às procurações lavradas em língua estrangeira”.</w:t>
      </w:r>
    </w:p>
    <w:p w:rsidR="0009355A" w:rsidRDefault="0009355A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</w:pPr>
      <w:r w:rsidRPr="003C6D6E"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  <w:tab/>
        <w:t>- “Parágrafo Único. Para o registro resumido, os títulos, documentos ou papéis em língua estrangeira, deverão ser sempre traduzidos. (LRP).</w:t>
      </w:r>
    </w:p>
    <w:p w:rsidR="0056310B" w:rsidRDefault="0056310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6310B" w:rsidRPr="003C6D6E" w:rsidRDefault="0056310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6</w:t>
      </w:r>
      <w:r w:rsidRPr="003C6D6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– </w:t>
      </w:r>
      <w:r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Para Cursos de Pós-Graduação (Especialização, Mestrado e/ou Doutorado) será necessária a Resolução do CONSEP que aprova o referido Curso, com a carga horária respectiva.</w:t>
      </w:r>
    </w:p>
    <w:p w:rsidR="006474CB" w:rsidRDefault="006474C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6310B" w:rsidRPr="0056310B" w:rsidRDefault="0056310B" w:rsidP="0056310B">
      <w:pPr>
        <w:spacing w:before="150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7 -</w:t>
      </w:r>
      <w:r w:rsidRPr="0056310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Na contratação com Órgãos Externos, especialmente Estado, antes da elaboração do Plano de Trabalho e/ou assinatura do </w:t>
      </w:r>
      <w:r w:rsidR="00E45874">
        <w:rPr>
          <w:rFonts w:ascii="Verdana" w:eastAsia="Times New Roman" w:hAnsi="Verdana" w:cs="Times New Roman"/>
          <w:sz w:val="24"/>
          <w:szCs w:val="24"/>
          <w:lang w:eastAsia="pt-BR"/>
        </w:rPr>
        <w:t>Instrumento Jurídico</w:t>
      </w:r>
      <w:bookmarkStart w:id="0" w:name="_GoBack"/>
      <w:bookmarkEnd w:id="0"/>
      <w:r w:rsidRPr="0056310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deverá ser consultado primeiramente a Diretoria de Contratos e Convênios </w:t>
      </w:r>
      <w:r w:rsidR="0009362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 </w:t>
      </w:r>
      <w:r w:rsidRPr="0056310B">
        <w:rPr>
          <w:rFonts w:ascii="Verdana" w:eastAsia="Times New Roman" w:hAnsi="Verdana" w:cs="Times New Roman"/>
          <w:sz w:val="24"/>
          <w:szCs w:val="24"/>
          <w:lang w:eastAsia="pt-BR"/>
        </w:rPr>
        <w:t>a Diretoria de Finanças e Contabilidade da PROAD, com o intuito de evitar inviabilização da execução do mesmo</w:t>
      </w:r>
      <w:r w:rsidR="00F87A26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56310B" w:rsidRDefault="0056310B" w:rsidP="0056310B">
      <w:pPr>
        <w:spacing w:before="150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56310B" w:rsidRPr="009628C9" w:rsidRDefault="0056310B" w:rsidP="0056310B">
      <w:pPr>
        <w:spacing w:before="150" w:after="15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9628C9">
        <w:rPr>
          <w:rFonts w:ascii="Verdana" w:eastAsia="Times New Roman" w:hAnsi="Verdana" w:cs="Times New Roman"/>
          <w:b/>
          <w:sz w:val="18"/>
          <w:szCs w:val="18"/>
          <w:lang w:eastAsia="pt-BR"/>
        </w:rPr>
        <w:t>**</w:t>
      </w:r>
      <w:proofErr w:type="spellStart"/>
      <w:r w:rsidRPr="009628C9">
        <w:rPr>
          <w:rFonts w:ascii="Verdana" w:eastAsia="Times New Roman" w:hAnsi="Verdana" w:cs="Times New Roman"/>
          <w:b/>
          <w:sz w:val="18"/>
          <w:szCs w:val="18"/>
          <w:lang w:eastAsia="pt-BR"/>
        </w:rPr>
        <w:t>Obervação</w:t>
      </w:r>
      <w:proofErr w:type="spellEnd"/>
      <w:r w:rsidRPr="009628C9">
        <w:rPr>
          <w:rFonts w:ascii="Verdana" w:eastAsia="Times New Roman" w:hAnsi="Verdana" w:cs="Times New Roman"/>
          <w:b/>
          <w:sz w:val="18"/>
          <w:szCs w:val="18"/>
          <w:lang w:eastAsia="pt-BR"/>
        </w:rPr>
        <w:t>:  caso na realização dos convênios haja despesa com diárias, informamos que o valor da mesma seguirá a tabela do governo federal (Decreto 6576 de 25/09/08 e Decreto 5992 de 19/12/06).</w:t>
      </w:r>
    </w:p>
    <w:p w:rsidR="0056310B" w:rsidRPr="009628C9" w:rsidRDefault="0056310B" w:rsidP="004D7E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sz w:val="18"/>
          <w:szCs w:val="18"/>
          <w:bdr w:val="none" w:sz="0" w:space="0" w:color="auto" w:frame="1"/>
          <w:lang w:eastAsia="pt-BR"/>
        </w:rPr>
      </w:pPr>
    </w:p>
    <w:sectPr w:rsidR="0056310B" w:rsidRPr="00962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A4D61"/>
    <w:multiLevelType w:val="multilevel"/>
    <w:tmpl w:val="722C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C5350"/>
    <w:multiLevelType w:val="multilevel"/>
    <w:tmpl w:val="F7A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4E57CB"/>
    <w:multiLevelType w:val="hybridMultilevel"/>
    <w:tmpl w:val="0D92F7A4"/>
    <w:lvl w:ilvl="0" w:tplc="AF74A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4E2E"/>
    <w:multiLevelType w:val="hybridMultilevel"/>
    <w:tmpl w:val="974AA1F4"/>
    <w:lvl w:ilvl="0" w:tplc="9D80A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970D9"/>
    <w:multiLevelType w:val="multilevel"/>
    <w:tmpl w:val="21F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FE39A7"/>
    <w:multiLevelType w:val="hybridMultilevel"/>
    <w:tmpl w:val="AF782EB6"/>
    <w:lvl w:ilvl="0" w:tplc="31DC3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6F5C"/>
    <w:multiLevelType w:val="multilevel"/>
    <w:tmpl w:val="FBB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3"/>
    <w:rsid w:val="00072D72"/>
    <w:rsid w:val="0009355A"/>
    <w:rsid w:val="00093622"/>
    <w:rsid w:val="00116724"/>
    <w:rsid w:val="0014343E"/>
    <w:rsid w:val="001B0583"/>
    <w:rsid w:val="001C5A14"/>
    <w:rsid w:val="001F52F2"/>
    <w:rsid w:val="002475B4"/>
    <w:rsid w:val="003C6D6E"/>
    <w:rsid w:val="004D7EE1"/>
    <w:rsid w:val="0056310B"/>
    <w:rsid w:val="005702A7"/>
    <w:rsid w:val="006474CB"/>
    <w:rsid w:val="00844A5C"/>
    <w:rsid w:val="009628C9"/>
    <w:rsid w:val="009F4596"/>
    <w:rsid w:val="00A059FE"/>
    <w:rsid w:val="00AA6B1B"/>
    <w:rsid w:val="00C33AF0"/>
    <w:rsid w:val="00E45874"/>
    <w:rsid w:val="00F077C1"/>
    <w:rsid w:val="00F65B4B"/>
    <w:rsid w:val="00F87A26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0ABF-3CB7-4F7F-B4E5-C016F954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0583"/>
    <w:rPr>
      <w:b/>
      <w:bCs/>
    </w:rPr>
  </w:style>
  <w:style w:type="paragraph" w:customStyle="1" w:styleId="yiv7136993892msonormal">
    <w:name w:val="yiv7136993892msonormal"/>
    <w:basedOn w:val="Normal"/>
    <w:rsid w:val="001B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58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B0583"/>
    <w:rPr>
      <w:i/>
      <w:iCs/>
    </w:rPr>
  </w:style>
  <w:style w:type="paragraph" w:styleId="PargrafodaLista">
    <w:name w:val="List Paragraph"/>
    <w:basedOn w:val="Normal"/>
    <w:uiPriority w:val="34"/>
    <w:qFormat/>
    <w:rsid w:val="001B05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A14"/>
    <w:rPr>
      <w:rFonts w:ascii="Segoe UI" w:hAnsi="Segoe UI" w:cs="Segoe UI"/>
      <w:sz w:val="18"/>
      <w:szCs w:val="18"/>
    </w:rPr>
  </w:style>
  <w:style w:type="paragraph" w:customStyle="1" w:styleId="eme">
    <w:name w:val="eme"/>
    <w:basedOn w:val="Normal"/>
    <w:rsid w:val="003C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3C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0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1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1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2018-04-16T16:48:00Z</cp:lastPrinted>
  <dcterms:created xsi:type="dcterms:W3CDTF">2018-04-16T14:32:00Z</dcterms:created>
  <dcterms:modified xsi:type="dcterms:W3CDTF">2018-04-16T17:48:00Z</dcterms:modified>
</cp:coreProperties>
</file>