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657" w:rsidRDefault="00FF5FE4" w:rsidP="00AB3CD7">
      <w:pPr>
        <w:keepLines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noProof/>
          <w:color w:val="000000"/>
          <w:sz w:val="22"/>
          <w:szCs w:val="22"/>
          <w:lang w:eastAsia="pt-BR" w:bidi="ar-SA"/>
        </w:rPr>
        <w:drawing>
          <wp:inline distT="0" distB="0" distL="114300" distR="114300">
            <wp:extent cx="475615" cy="598805"/>
            <wp:effectExtent l="0" t="0" r="0" b="0"/>
            <wp:docPr id="102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5615" cy="5988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54657" w:rsidRDefault="00FF5FE4" w:rsidP="00AB3CD7">
      <w:pPr>
        <w:widowControl w:val="0"/>
        <w:ind w:left="0" w:hanging="2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Universidade Federal do Pará</w:t>
      </w:r>
    </w:p>
    <w:p w:rsidR="00E54657" w:rsidRDefault="00FF5FE4" w:rsidP="00AB3CD7">
      <w:pPr>
        <w:widowControl w:val="0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Pró-Reitoria</w:t>
      </w:r>
      <w:proofErr w:type="spellEnd"/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 xml:space="preserve"> de Administração</w:t>
      </w:r>
    </w:p>
    <w:p w:rsidR="00E54657" w:rsidRDefault="00FF5FE4" w:rsidP="00AB3CD7">
      <w:pPr>
        <w:widowControl w:val="0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Diretoria de Compras e Serviços</w:t>
      </w:r>
    </w:p>
    <w:p w:rsidR="00E54657" w:rsidRDefault="00E54657" w:rsidP="00AB3CD7">
      <w:pPr>
        <w:widowControl w:val="0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E54657" w:rsidRDefault="00FF5FE4" w:rsidP="00AB3CD7">
      <w:pPr>
        <w:widowControl w:val="0"/>
        <w:spacing w:after="57"/>
        <w:ind w:left="0" w:hanging="2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ANEXO I</w:t>
      </w:r>
    </w:p>
    <w:p w:rsidR="00E54657" w:rsidRDefault="00FF5FE4" w:rsidP="00AB3CD7">
      <w:pPr>
        <w:keepLines/>
        <w:widowControl w:val="0"/>
        <w:spacing w:after="57"/>
        <w:ind w:left="0" w:hanging="2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mallCaps/>
          <w:color w:val="000000"/>
          <w:sz w:val="22"/>
          <w:szCs w:val="22"/>
        </w:rPr>
        <w:t>TERMO DE REFERÊNCIA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E6E6E6"/>
        <w:tabs>
          <w:tab w:val="left" w:pos="348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1. OBJETO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1.1. Constitui objeto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da presente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licitação a Contratação de empresas especializadas, para aquisição de 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>MATERIAL DE CONSUMO – PERIFÉRICOS E ACESSÓRIOS DE INFORMÁTICA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através de Pregão Eletrônico, do tipo menor Preço por Lote para atender necessidades das diversas unidades da Universidade Federal do Pará.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1.2. Os materiais deverão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ser,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obrigatoriamente, originais, de mesma marca, mesmo fabricante e mesma configuração cromática. Para fins deste certame, entende-se que: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1.2.1. Marca: É o elemento de comunicação na forma de texto ou símbolo, que identifica um ou vários produtos do mesmo fabricante e que os distinguem de outros fabricantes, segundo a legislação de propriedade industrial.</w:t>
      </w:r>
    </w:p>
    <w:p w:rsidR="002D39A9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1.2.2. Fabricante: Entende-se por fabricante aquele que manufatura ou formula o produto. A companhia firma, corporação, ou outra entidade de pessoa jurídica, que estabelece normas ou especificações técnicas ou que controla o projeto, as características e a produção de bens através dos respectivos desenhos técnicos, normas, especificações e controle de qualidade</w:t>
      </w:r>
      <w:r w:rsidR="002D39A9">
        <w:rPr>
          <w:rFonts w:ascii="Calibri" w:eastAsia="Calibri" w:hAnsi="Calibri" w:cs="Calibri"/>
          <w:color w:val="000000"/>
          <w:sz w:val="22"/>
          <w:szCs w:val="22"/>
          <w:highlight w:val="white"/>
        </w:rPr>
        <w:t>.</w:t>
      </w:r>
    </w:p>
    <w:p w:rsidR="002D39A9" w:rsidRDefault="002D39A9" w:rsidP="002D39A9">
      <w:pPr>
        <w:widowControl w:val="0"/>
        <w:shd w:val="clear" w:color="auto" w:fill="FFFFFF"/>
        <w:tabs>
          <w:tab w:val="right" w:pos="567"/>
        </w:tabs>
        <w:overflowPunct/>
        <w:spacing w:before="240" w:after="120" w:line="240" w:lineRule="auto"/>
        <w:ind w:leftChars="0" w:left="-2" w:firstLineChars="0" w:firstLine="0"/>
        <w:jc w:val="both"/>
        <w:textDirection w:val="lrTb"/>
        <w:textAlignment w:val="auto"/>
        <w:outlineLvl w:val="9"/>
        <w:rPr>
          <w:rFonts w:ascii="Ecofont Vera Sans" w:hAnsi="Ecofont Vera Sans" w:cs="Arial"/>
          <w:bCs/>
          <w:color w:val="000000"/>
          <w:sz w:val="18"/>
          <w:szCs w:val="18"/>
        </w:rPr>
      </w:pPr>
      <w:r>
        <w:rPr>
          <w:rFonts w:ascii="Ecofont Vera Sans" w:hAnsi="Ecofont Vera Sans" w:cs="Arial"/>
          <w:bCs/>
          <w:color w:val="000000"/>
          <w:sz w:val="18"/>
          <w:szCs w:val="18"/>
        </w:rPr>
        <w:t xml:space="preserve">1.3. </w:t>
      </w:r>
      <w:r w:rsidRPr="006C44C1">
        <w:rPr>
          <w:rFonts w:ascii="Ecofont Vera Sans" w:hAnsi="Ecofont Vera Sans" w:cs="Arial"/>
          <w:bCs/>
          <w:i/>
          <w:color w:val="000000"/>
          <w:sz w:val="18"/>
          <w:szCs w:val="18"/>
        </w:rPr>
        <w:t>O objeto a ser contratado enquadra-se na categoria de bens e serviços comuns, de que tratam as Leis nº 10.520/2002 e 10.024/2019, por possuir padrões de desempenho e características gerais e específicas, usualmente encontradas no mercado, podendo, portanto, ser licitado por meio da modalidade Pregão, na s</w:t>
      </w:r>
      <w:bookmarkStart w:id="0" w:name="_GoBack"/>
      <w:bookmarkEnd w:id="0"/>
      <w:r w:rsidRPr="006C44C1">
        <w:rPr>
          <w:rFonts w:ascii="Ecofont Vera Sans" w:hAnsi="Ecofont Vera Sans" w:cs="Arial"/>
          <w:bCs/>
          <w:i/>
          <w:color w:val="000000"/>
          <w:sz w:val="18"/>
          <w:szCs w:val="18"/>
        </w:rPr>
        <w:t>ua forma eletrônica.</w:t>
      </w:r>
      <w:r w:rsidRPr="006C44C1">
        <w:rPr>
          <w:rFonts w:ascii="Ecofont Vera Sans" w:hAnsi="Ecofont Vera Sans" w:cs="Arial"/>
          <w:i/>
          <w:sz w:val="18"/>
          <w:szCs w:val="18"/>
        </w:rPr>
        <w:t xml:space="preserve"> A opção pela adoção do Sistema de Registro de Preços (SRP) deve-se ao fato de este sistema ser um forte aliado aos princípios da eficiência e da economicidade, reduzindo a quantidade de licitações, por registrar preços e disponibilizá-los por um ano. (Assim, enquadra-se no Decreto nº 7892/2013, artigo 3º, inciso IV</w:t>
      </w:r>
      <w:r w:rsidRPr="006F5A95">
        <w:rPr>
          <w:rFonts w:ascii="Ecofont Vera Sans" w:hAnsi="Ecofont Vera Sans" w:cs="Arial"/>
          <w:sz w:val="18"/>
          <w:szCs w:val="18"/>
        </w:rPr>
        <w:t>)</w:t>
      </w:r>
      <w:r w:rsidRPr="006F5A95">
        <w:rPr>
          <w:rFonts w:ascii="Ecofont Vera Sans" w:hAnsi="Ecofont Vera Sans" w:cs="Arial"/>
          <w:bCs/>
          <w:color w:val="000000"/>
          <w:sz w:val="18"/>
          <w:szCs w:val="18"/>
        </w:rPr>
        <w:t>.</w:t>
      </w:r>
    </w:p>
    <w:p w:rsidR="002D39A9" w:rsidRDefault="002D39A9" w:rsidP="002D39A9">
      <w:pPr>
        <w:widowControl w:val="0"/>
        <w:shd w:val="clear" w:color="auto" w:fill="FFFFFF"/>
        <w:tabs>
          <w:tab w:val="right" w:pos="567"/>
        </w:tabs>
        <w:ind w:leftChars="944" w:left="2268" w:hanging="2"/>
        <w:jc w:val="both"/>
        <w:rPr>
          <w:rFonts w:ascii="Ecofont Vera Sans" w:hAnsi="Ecofont Vera Sans" w:cs="Arial"/>
          <w:bCs/>
          <w:i/>
          <w:color w:val="000000"/>
          <w:sz w:val="18"/>
          <w:szCs w:val="18"/>
        </w:rPr>
      </w:pPr>
      <w:r w:rsidRPr="006F5A95">
        <w:rPr>
          <w:rFonts w:ascii="Ecofont Vera Sans" w:hAnsi="Ecofont Vera Sans" w:cs="Arial"/>
          <w:bCs/>
          <w:i/>
          <w:color w:val="000000"/>
          <w:sz w:val="18"/>
          <w:szCs w:val="18"/>
        </w:rPr>
        <w:t>“Art. 3º O Sistema de Registro de Preços poderá ser adotado nas seguintes hipóteses:</w:t>
      </w:r>
      <w:r>
        <w:rPr>
          <w:rFonts w:ascii="Ecofont Vera Sans" w:hAnsi="Ecofont Vera Sans" w:cs="Arial"/>
          <w:bCs/>
          <w:i/>
          <w:color w:val="000000"/>
          <w:sz w:val="18"/>
          <w:szCs w:val="18"/>
        </w:rPr>
        <w:t xml:space="preserve"> </w:t>
      </w:r>
      <w:r w:rsidRPr="006F5A95">
        <w:rPr>
          <w:rFonts w:ascii="Ecofont Vera Sans" w:hAnsi="Ecofont Vera Sans" w:cs="Arial"/>
          <w:bCs/>
          <w:i/>
          <w:color w:val="000000"/>
          <w:sz w:val="18"/>
          <w:szCs w:val="18"/>
        </w:rPr>
        <w:t>IV – quando, pela natureza do objeto, não for possível definir previamente o quantitativo a ser demandado pela Administração</w:t>
      </w:r>
      <w:proofErr w:type="gramStart"/>
      <w:r w:rsidRPr="006F5A95">
        <w:rPr>
          <w:rFonts w:ascii="Ecofont Vera Sans" w:hAnsi="Ecofont Vera Sans" w:cs="Arial"/>
          <w:bCs/>
          <w:i/>
          <w:color w:val="000000"/>
          <w:sz w:val="18"/>
          <w:szCs w:val="18"/>
        </w:rPr>
        <w:t>”</w:t>
      </w:r>
      <w:r>
        <w:rPr>
          <w:rFonts w:ascii="Ecofont Vera Sans" w:hAnsi="Ecofont Vera Sans" w:cs="Arial"/>
          <w:bCs/>
          <w:i/>
          <w:color w:val="000000"/>
          <w:sz w:val="18"/>
          <w:szCs w:val="18"/>
        </w:rPr>
        <w:t>.</w:t>
      </w:r>
      <w:proofErr w:type="gramEnd"/>
    </w:p>
    <w:p w:rsidR="00E54657" w:rsidRDefault="00E54657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E6E6E6"/>
        <w:tabs>
          <w:tab w:val="left" w:pos="348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2. JUSTIFICATIVA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2.1. Trata-se de contratação de empresa especializada no fornecimento de 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>MATERIAL DE CONSUMO – PERIFÉRICOS E ACESSÓRIOS DE INFORMÁTICA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através de Pregão Eletrônico, do tipo menor Preço por Lote para atender necessidades da Universidade Federal do Pará.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2.1.1. A Universidade Federal do Pará passa por um crescente aumento de sua demanda de serviços de TI e consequentemente, disponibiliza-os cada vez mais à comunidade acadêmica, serviços esses aderentes aos seus objetivos estratégicos, dentre os quais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destaca-se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a promoção da modernização da infraestrutura física e tecnológica (TIC). Dessa forma, é de suma importância a aquisição de material de consumo como periféricos e acessórios de informática.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2.2. A aquisição dos materiais, objeto da licitação, está inserida nas ações necessárias para atingir metas estabelecidas no Plano Diretor de Tecnologia da Informação e Comunicação (PDTIC) da UFPA, em atendimento às normativas estabelecidas na IN 04/2014 editada pela Secretaria de Tecnologia da Informação - STI do Ministério do Planejamento, Desenvolvimento e Gestão - MP que dispõe sobre o processo de contratação de Soluções de Tecnologia da Informação pelos órgãos integrantes do Sistema de Administração dos Recursos de Informação e Informática - SISP do Poder Executivo Federal, do qual a UFPA é integrante, sendo um órgão seccional.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2.3. A presente contratação é resultado de um processo de planejamento do qual participam várias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lastRenderedPageBreak/>
        <w:t>unidades da instituição, entre as quais estão a Diretoria de Compras e Serviços da UFPA, que recebe as demandas das unidades tanto da capital quanto do interior, e com base nessas informações planeja as aquisições de materiais em quantidade e qualidade.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2.4. Estabelecidas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as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necessidades e respectivos quantitativos, o Centro de Tecnologia da Informação e Comunicação (CTIC), outra unidade integrante do processo de contratação, elabora a especificação técnica desses materiais, atendendo as diretrizes da IN 04/2014 – STI/MP, bem como para alguns materiais específicos, observando as normas da IN 01/2010 – SLTI/MPOG que estabelece critérios de sustentabilidade ambiental na aquisição de bens, contratação de serviços ou obras pela Administração Pública Federal direta, autárquica e fundacional, no caso, denominada de “TI Verde”.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2.5. Cabe ressaltar que a aquisição desses materiais é fundamental para que a UFPA atenda as demandas das suas diversas unidades, possibilitando desta forma, que as atividades da instituição sejam executadas de forma contínua e com mais qualidade, não apenas para o público, como também para os servidores.</w:t>
      </w:r>
    </w:p>
    <w:p w:rsidR="00E54657" w:rsidRDefault="00E54657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E6E6E6"/>
        <w:tabs>
          <w:tab w:val="left" w:pos="348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3.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RESULTADOS ESPERADOS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3.1. Os principais resultados a serem alcançados com esta licitação são: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3.1.1. Dispor de recursos tecnológicos (periféricos e acessórios) para suprir as necessidades de infraestrutura de serviços das diversas unidades da UFPA;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3.1.2. Garantir níveis satisfatórios de qualidade e disponibilidade de serviços para as atividades finalísticas da UFPA, bem como na automação de rotinas de atividades meio da instituição;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3.1.3. Estar aderente às diretrizes estabelecidas no Plano Diretor de Tecnologia da Informação e Comunicação– PDTIC, alinhado à estratégia da UFPA.</w:t>
      </w:r>
    </w:p>
    <w:p w:rsidR="00E54657" w:rsidRDefault="00E54657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E6E6E6"/>
        <w:tabs>
          <w:tab w:val="left" w:pos="348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4. ESPECIFICAÇÕES MÍNIMAS DOS MATERIAIS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4.1.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Os materiais, objeto da contratação, serão discriminados no Item 4.3, com seus respectivos quantitativos.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4.2.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O detalhamento das especificações dos materiais, objeto desta contratação deverão observar rigorosamente as quantidades e Especificações Técnicas constantes neste documento.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4.2.1. No campo “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  <w:highlight w:val="white"/>
        </w:rPr>
        <w:t>descrição complementar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” do site </w:t>
      </w:r>
      <w:hyperlink r:id="rId10">
        <w:r>
          <w:rPr>
            <w:rFonts w:ascii="Calibri" w:eastAsia="Calibri" w:hAnsi="Calibri" w:cs="Calibri"/>
            <w:color w:val="000000"/>
            <w:sz w:val="22"/>
            <w:szCs w:val="22"/>
            <w:highlight w:val="white"/>
            <w:u w:val="single"/>
          </w:rPr>
          <w:t>www.comprasnet.com.br</w:t>
        </w:r>
      </w:hyperlink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, deverão ser informados “obrigatoriamente” 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  <w:u w:val="single"/>
        </w:rPr>
        <w:t>marca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e 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  <w:u w:val="single"/>
        </w:rPr>
        <w:t>modelo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dos materiais ofertados,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sob pena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de desclassificação.</w:t>
      </w:r>
    </w:p>
    <w:p w:rsidR="00E54657" w:rsidRDefault="00E54657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4.3.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Descrição mínima dos materiais e quantitativos DO ORGÃO GERENCIADOR:</w:t>
      </w:r>
    </w:p>
    <w:p w:rsidR="00E54657" w:rsidRDefault="00E54657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"/>
        <w:tblW w:w="96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75"/>
        <w:gridCol w:w="4995"/>
        <w:gridCol w:w="735"/>
        <w:gridCol w:w="630"/>
        <w:gridCol w:w="1305"/>
        <w:gridCol w:w="1305"/>
      </w:tblGrid>
      <w:tr w:rsidR="00E5465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Especificação (mínima)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QTD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Valor Unit. 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Valor Total</w:t>
            </w:r>
          </w:p>
        </w:tc>
      </w:tr>
      <w:tr w:rsidR="00E54657">
        <w:tc>
          <w:tcPr>
            <w:tcW w:w="964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LOTE 01</w:t>
            </w:r>
          </w:p>
        </w:tc>
      </w:tr>
      <w:tr w:rsidR="00E5465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499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DISCO RÍGIDO DE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TB</w:t>
            </w:r>
          </w:p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Disco rígido de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TB - Serial ATA: Velocidade de Rotação: 7200 rpm; Interface: SATA II (3 Gb/s); 16Mb Buffer; Deve ser fornecido cabo SATA.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Calibri" w:eastAsia="Calibri" w:hAnsi="Calibri" w:cs="Calibri"/>
                <w:b/>
                <w:color w:val="0CA700"/>
                <w:sz w:val="22"/>
                <w:szCs w:val="22"/>
                <w:shd w:val="clear" w:color="auto" w:fill="F9FBFD"/>
              </w:rPr>
              <w:t>3017000000629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R$ 337,01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R$ 50.551,50</w:t>
            </w:r>
          </w:p>
        </w:tc>
      </w:tr>
      <w:tr w:rsidR="00E5465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499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DISCO RÍGIDO DE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TB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Disco rígido de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TB - Serial ATA: Velocidade de Rotação: 7200 rpm; Interface: SATA III (6 Gb/s); 64Mb Buffer; Deve ser fornecido cabo SATA.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Calibri" w:eastAsia="Calibri" w:hAnsi="Calibri" w:cs="Calibri"/>
                <w:b/>
                <w:color w:val="0CA700"/>
                <w:sz w:val="22"/>
                <w:szCs w:val="22"/>
                <w:shd w:val="clear" w:color="auto" w:fill="F9FBFD"/>
              </w:rPr>
              <w:t>3017000000630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R$ 453,92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R$ 45.392,00</w:t>
            </w:r>
          </w:p>
        </w:tc>
      </w:tr>
      <w:tr w:rsidR="00E5465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03</w:t>
            </w:r>
          </w:p>
        </w:tc>
        <w:tc>
          <w:tcPr>
            <w:tcW w:w="499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DISCO RÍGIDO SSD 480 GB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DISCO RIGIDO SSD, MEMÓRIA 480 GB ou superior,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 xml:space="preserve">VELOCIDADE TRANSFERÊNCIA 6.0 GB/S, APLICAÇÃO INFORMÁTICA (INTERNO PC/NOTEBOOK), TAMANHO 2.5 POL, MODELO SSD, INTERFACE SATA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III</w:t>
            </w:r>
            <w:proofErr w:type="gramEnd"/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Verdana" w:eastAsia="Verdana" w:hAnsi="Verdana" w:cs="Verdana"/>
                <w:b/>
                <w:color w:val="0CA700"/>
                <w:sz w:val="17"/>
                <w:szCs w:val="17"/>
                <w:shd w:val="clear" w:color="auto" w:fill="F9FBFD"/>
              </w:rPr>
              <w:t>3017000001408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R$ 375,74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R$ 75.148,00</w:t>
            </w:r>
          </w:p>
        </w:tc>
      </w:tr>
      <w:tr w:rsidR="00E5465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lastRenderedPageBreak/>
              <w:t>04</w:t>
            </w:r>
          </w:p>
        </w:tc>
        <w:tc>
          <w:tcPr>
            <w:tcW w:w="499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DISCO RÍGIDO SSD 960 GB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DISCO RIGIDO SSD, MEMÓRIA 960 GB ou superior, VELOCIDADE TRANSFERÊNCIA 6.0 GB/S, APLICAÇÃO INFORMÁTICA (INTERNO PC/NOTEBOOK), TAMANHO 2.5 POL, MODELO SSD, INTERFACE SATA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III</w:t>
            </w:r>
            <w:proofErr w:type="gramEnd"/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Verdana" w:eastAsia="Verdana" w:hAnsi="Verdana" w:cs="Verdana"/>
                <w:b/>
                <w:color w:val="0CA700"/>
                <w:sz w:val="17"/>
                <w:szCs w:val="17"/>
                <w:shd w:val="clear" w:color="auto" w:fill="F9FBFD"/>
              </w:rPr>
              <w:t>3017000001409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R$ 815,85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R$ 81.585,00</w:t>
            </w:r>
          </w:p>
        </w:tc>
      </w:tr>
      <w:tr w:rsidR="00E5465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05</w:t>
            </w:r>
          </w:p>
        </w:tc>
        <w:tc>
          <w:tcPr>
            <w:tcW w:w="499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DISCO RÍGIDO EXTERNO 1TB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Disco Rígido Externo 1TB conexão USB 3.0, 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Características: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Taxa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 transferência USB 3.0: 480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Mbits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/s (máx.); Compatível com PC e Mac; Funciona com o Windows, Linux, Mac OS X 10.4.8 ou superior; Interface de conexão USB 3.0. Acessórios: Cabo USB 3.0., Adaptador AC.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  <w:shd w:val="clear" w:color="auto" w:fill="F9FBFD"/>
              </w:rPr>
              <w:t>3017000000631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R$ 391,48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R$ 58.722,00</w:t>
            </w:r>
          </w:p>
        </w:tc>
      </w:tr>
      <w:tr w:rsidR="00E5465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06</w:t>
            </w:r>
          </w:p>
        </w:tc>
        <w:tc>
          <w:tcPr>
            <w:tcW w:w="499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DISCO RÍGIDO EXTERNO 3TB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Disco Rígido Externo 3TB conexão USB 3.0, Características: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Taxa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 transferência USB 3.0: 4.8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Gbits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/s (máx.); Compatível com PC e Mac; Funciona com o Windows, Linux e Mac OS X 10.4.8 ou superior; Interface de conexão USB 2.0. Acessórios: Cabo USB 3.0., Adaptador AC.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  <w:shd w:val="clear" w:color="auto" w:fill="F9FBFD"/>
              </w:rPr>
              <w:t>3017000000633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R$ 644,68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R$ 64.468,00</w:t>
            </w:r>
          </w:p>
        </w:tc>
      </w:tr>
      <w:tr w:rsidR="00E54657">
        <w:tc>
          <w:tcPr>
            <w:tcW w:w="7035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TOTAL DO LOTE 01</w:t>
            </w:r>
          </w:p>
        </w:tc>
        <w:tc>
          <w:tcPr>
            <w:tcW w:w="2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R$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375.866,50</w:t>
            </w:r>
          </w:p>
        </w:tc>
      </w:tr>
    </w:tbl>
    <w:p w:rsidR="00E54657" w:rsidRDefault="00E54657" w:rsidP="00AB3CD7">
      <w:pPr>
        <w:widowControl w:val="0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E54657" w:rsidRDefault="00E54657" w:rsidP="00AB3CD7">
      <w:pPr>
        <w:widowControl w:val="0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0"/>
        <w:tblW w:w="96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75"/>
        <w:gridCol w:w="4995"/>
        <w:gridCol w:w="735"/>
        <w:gridCol w:w="630"/>
        <w:gridCol w:w="1305"/>
        <w:gridCol w:w="1305"/>
      </w:tblGrid>
      <w:tr w:rsidR="00E5465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Especificação (mínima)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QTD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Valor Unit. 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Valor Total</w:t>
            </w:r>
          </w:p>
        </w:tc>
      </w:tr>
      <w:tr w:rsidR="00E54657">
        <w:tc>
          <w:tcPr>
            <w:tcW w:w="964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LOTE 02</w:t>
            </w:r>
          </w:p>
        </w:tc>
      </w:tr>
      <w:tr w:rsidR="00E5465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07</w:t>
            </w:r>
          </w:p>
        </w:tc>
        <w:tc>
          <w:tcPr>
            <w:tcW w:w="499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Teclado ABNT2 USB COM TECLAS DE ATALHO MULTIMÍDIA</w:t>
            </w:r>
          </w:p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Teclado, em conformidade com as normas ABNT2, com Design Ergonômico, pés de apoio emborrachado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antideslizante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) botões de navegação, botões de controle multimídia, tecla media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center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, e-mail, home, volume + e -,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mute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, play/pause, teclas de atalho de internet/multimídia/sistema, teclas de membrana tátil de alta qualidade e toque suave (teclas de perfil baixo).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Calibri" w:eastAsia="Calibri" w:hAnsi="Calibri" w:cs="Calibri"/>
                <w:b/>
                <w:color w:val="0CA700"/>
                <w:sz w:val="22"/>
                <w:szCs w:val="22"/>
                <w:shd w:val="clear" w:color="auto" w:fill="F9FBFD"/>
              </w:rPr>
              <w:t>3017000000635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R$ 67,26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R$ 20.178,00 </w:t>
            </w:r>
          </w:p>
        </w:tc>
      </w:tr>
      <w:tr w:rsidR="00E5465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08</w:t>
            </w:r>
          </w:p>
        </w:tc>
        <w:tc>
          <w:tcPr>
            <w:tcW w:w="499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MOUSE ÓPTICO COM CONEXÃO USB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Mouse tipo óptico, com conexão USB. Deve conter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(duas) ou 3 (três) teclas e botão de rolagem. Design ergonômico. O comprimento mínimo do cabo deverá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 xml:space="preserve">ser de 1,6 metros. Deve acompanhar suporte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antiestático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(mouse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pad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).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Calibri" w:eastAsia="Calibri" w:hAnsi="Calibri" w:cs="Calibri"/>
                <w:b/>
                <w:color w:val="0CA700"/>
                <w:sz w:val="22"/>
                <w:szCs w:val="22"/>
                <w:shd w:val="clear" w:color="auto" w:fill="F9FBFD"/>
              </w:rPr>
              <w:t>3017000000637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300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R$ 57,29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R$ 17.187,00 </w:t>
            </w:r>
          </w:p>
        </w:tc>
      </w:tr>
      <w:tr w:rsidR="00E5465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lastRenderedPageBreak/>
              <w:t>09</w:t>
            </w:r>
          </w:p>
        </w:tc>
        <w:tc>
          <w:tcPr>
            <w:tcW w:w="499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HEADSET</w:t>
            </w:r>
          </w:p>
          <w:p w:rsidR="00E54657" w:rsidRDefault="00FF5FE4" w:rsidP="00AB3CD7">
            <w:pPr>
              <w:keepLines/>
              <w:widowControl w:val="0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Fone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Headset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com impedância de 32 Ohms e sensibilidade de 98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dB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, cabo de mínimo 2m, microfone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omni-direcional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ajustável com frequência entre 15 Hz a 9,5 kHz ou superior, frequência dos fones de 10 Hz à 22 kHz ou superior. Deverá conter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ferrite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de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30mm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, potência mínima de 1000mW, cor preta.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Calibri" w:eastAsia="Calibri" w:hAnsi="Calibri" w:cs="Calibri"/>
                <w:b/>
                <w:color w:val="0CA700"/>
                <w:sz w:val="22"/>
                <w:szCs w:val="22"/>
                <w:shd w:val="clear" w:color="auto" w:fill="F9FBFD"/>
              </w:rPr>
              <w:t>3017000000639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R$ 135,34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R$ 13.534,00 </w:t>
            </w:r>
          </w:p>
        </w:tc>
      </w:tr>
      <w:tr w:rsidR="00E5465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10</w:t>
            </w:r>
          </w:p>
        </w:tc>
        <w:tc>
          <w:tcPr>
            <w:tcW w:w="499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CAIXA DE SOM PARA COMPUTADOR (PAR)</w:t>
            </w:r>
          </w:p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ALIMENTAÇÃO: 100-</w:t>
            </w: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240V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~ 50/60 HZ 800MA - TOTAL DE WATTS: 3W RMS / 6W PICO - DRIVERS: DE 2 POLEGADAS - CONTROLES: FORÇA/VOLUME - ENTRADA: AUXILIAR DE 3,5MM E ENTRADA DE FONE DE OUVIDO - FUNCIONA COM: DISPOSITIVOS DE ÁUDIO COM SAÍDA DE 3,5 MM, COMPUTADORES WINDOWS E MAC OS, SMARTPHONES, TABLETS E REPRODUTORES DE MP3. ACOMPANHA FONTE DE ALIMENTAÇÃO</w:t>
            </w:r>
          </w:p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Verdana" w:eastAsia="Verdana" w:hAnsi="Verdana" w:cs="Verdana"/>
                <w:b/>
                <w:color w:val="0CA700"/>
                <w:sz w:val="17"/>
                <w:szCs w:val="17"/>
                <w:shd w:val="clear" w:color="auto" w:fill="F9FBFD"/>
              </w:rPr>
              <w:t>3017000001410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PAR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R$ 152,19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R$ 45.657,00 </w:t>
            </w:r>
          </w:p>
        </w:tc>
      </w:tr>
      <w:tr w:rsidR="00E54657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11</w:t>
            </w:r>
          </w:p>
        </w:tc>
        <w:tc>
          <w:tcPr>
            <w:tcW w:w="499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WEBCAM FULLHD 1080P</w:t>
            </w:r>
          </w:p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360 GRAUS - ALTA FIDELIDADE DE CORES EM UMA RESOLUÇÃO FULL HD 1080P, MICROFONE COM REDUÇÃO DE RUÍDO, TRANSMISSÃO CLARA DA VOZ EM VOIP E VIDEOCHAMADAS COM ALCANCE DE ATÉ 10 METROS PARA A IMAGEM E 3 A 5 METROS PARA CAPTAÇÃO DE VOZ</w:t>
            </w: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>- CÂMERA COM AJUSTE DE 360 GRAUS DO PONTO DE FIXAÇÃO PARA OS LADOS E 45 GRAUS PARA CIMA E BAIXO - COMPATÍVEL COM USB 2.0 OU SUPERIOR SEM RESTRIÇÃO DE SISTEMAS OPERACIONAIS - VÍDEO CONFERÊNCIA/ VÍDEOCHAMADAS/ TRANSMISSÕES AO VIVO - RESOLUÇÃO: 1920X 1080P MÁX. – AUTOFOCO - TAMANHO DO CABO: 120CM</w:t>
            </w:r>
          </w:p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Verdana" w:eastAsia="Verdana" w:hAnsi="Verdana" w:cs="Verdana"/>
                <w:b/>
                <w:color w:val="0CA700"/>
                <w:sz w:val="17"/>
                <w:szCs w:val="17"/>
                <w:shd w:val="clear" w:color="auto" w:fill="F9FBFD"/>
              </w:rPr>
              <w:t>3017000001411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R$ 195,98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R$ 19.598,00 </w:t>
            </w:r>
          </w:p>
        </w:tc>
      </w:tr>
      <w:tr w:rsidR="00E54657">
        <w:tc>
          <w:tcPr>
            <w:tcW w:w="7035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TOTAL DO LOTE 02</w:t>
            </w:r>
          </w:p>
        </w:tc>
        <w:tc>
          <w:tcPr>
            <w:tcW w:w="2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R$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116.154,00</w:t>
            </w:r>
          </w:p>
        </w:tc>
      </w:tr>
    </w:tbl>
    <w:p w:rsidR="00E54657" w:rsidRDefault="00E54657" w:rsidP="00AB3CD7">
      <w:pPr>
        <w:widowControl w:val="0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1"/>
        <w:tblW w:w="96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60"/>
        <w:gridCol w:w="5010"/>
        <w:gridCol w:w="735"/>
        <w:gridCol w:w="630"/>
        <w:gridCol w:w="1305"/>
        <w:gridCol w:w="1305"/>
      </w:tblGrid>
      <w:tr w:rsidR="00E54657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Especificação (mínima)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QTD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Valor Unit. 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Valor Total</w:t>
            </w:r>
          </w:p>
        </w:tc>
      </w:tr>
      <w:tr w:rsidR="00E54657">
        <w:tc>
          <w:tcPr>
            <w:tcW w:w="964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LOTE 03</w:t>
            </w:r>
          </w:p>
        </w:tc>
      </w:tr>
      <w:tr w:rsidR="00E54657"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501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PENTE DE MEMÓRIA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Pente de memória DDR3-1066 de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GB - Módulo com capacidade de 4GB, DDR3 - Frequência de 1066MHz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Calibri" w:eastAsia="Calibri" w:hAnsi="Calibri" w:cs="Calibri"/>
                <w:b/>
                <w:color w:val="0CA700"/>
                <w:sz w:val="22"/>
                <w:szCs w:val="22"/>
                <w:shd w:val="clear" w:color="auto" w:fill="F9FBFD"/>
              </w:rPr>
              <w:t>3017000000640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R$ 164,56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R$ 16.456,00 </w:t>
            </w:r>
          </w:p>
        </w:tc>
      </w:tr>
      <w:tr w:rsidR="00E54657"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501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PENTE DE MEMÓRIA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Pente de memória DDR3-1333 de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GB - Módulo com capacidade de 4GB, DDR3 - Frequência de 1333MHz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Calibri" w:eastAsia="Calibri" w:hAnsi="Calibri" w:cs="Calibri"/>
                <w:b/>
                <w:color w:val="0CA700"/>
                <w:sz w:val="22"/>
                <w:szCs w:val="22"/>
                <w:shd w:val="clear" w:color="auto" w:fill="F9FBFD"/>
              </w:rPr>
              <w:t>3017000000641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R$ 174,96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R$ 17.496,00 </w:t>
            </w:r>
          </w:p>
        </w:tc>
      </w:tr>
      <w:tr w:rsidR="00E54657"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501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PENTE DE MEMÓRIA</w:t>
            </w:r>
          </w:p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Pente de Memória RAM DDR4 8GB 2133mhz ou superior.</w:t>
            </w:r>
          </w:p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Módulo com capacidade de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8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GB,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br/>
              <w:t>DDR4 - Frequência de 2133MHz (ou superior)</w:t>
            </w:r>
          </w:p>
          <w:p w:rsidR="00E54657" w:rsidRDefault="00FF5FE4" w:rsidP="00AB3CD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Garantia mínima de 12 meses.</w:t>
            </w:r>
          </w:p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Verdana" w:eastAsia="Verdana" w:hAnsi="Verdana" w:cs="Verdana"/>
                <w:b/>
                <w:color w:val="0CA700"/>
                <w:sz w:val="17"/>
                <w:szCs w:val="17"/>
                <w:shd w:val="clear" w:color="auto" w:fill="F9FBFD"/>
              </w:rPr>
              <w:t>3017000001412 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R$ 308,49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R$ 61.698,00 </w:t>
            </w:r>
          </w:p>
        </w:tc>
      </w:tr>
      <w:tr w:rsidR="00E54657"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15</w:t>
            </w:r>
          </w:p>
        </w:tc>
        <w:tc>
          <w:tcPr>
            <w:tcW w:w="501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PLACA DE REDE PCI – 10/100/1000 MBPS</w:t>
            </w:r>
          </w:p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Compatível com PCI Local Bus de revisão 2.2,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 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Com suporta de controle de fluxo 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Full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/Duplex,  Compatibilidade com IEEE 802.3 10BASE e IEEE 802.3u 100BASE-TX e 802.3x 1000BASE-T, Rede 10/100/1000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Base-T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automaticamente, 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LEDs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indicativos em verde das funções ACT e Link.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Calibri" w:eastAsia="Calibri" w:hAnsi="Calibri" w:cs="Calibri"/>
                <w:b/>
                <w:color w:val="0CA700"/>
                <w:sz w:val="22"/>
                <w:szCs w:val="22"/>
                <w:shd w:val="clear" w:color="auto" w:fill="F9FBFD"/>
              </w:rPr>
              <w:t>3017000000642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R$ 112,03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R$ 16.804,50 </w:t>
            </w:r>
          </w:p>
        </w:tc>
      </w:tr>
      <w:tr w:rsidR="00E54657"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16</w:t>
            </w:r>
          </w:p>
        </w:tc>
        <w:tc>
          <w:tcPr>
            <w:tcW w:w="501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PLACA ADAPTADORA DE REDE USB – WIRELESS</w:t>
            </w:r>
          </w:p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Tecnologia de conectividade: WLAN</w:t>
            </w:r>
          </w:p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Taxa de transferência de dados: 600 MB/s</w:t>
            </w:r>
          </w:p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Interface: USB</w:t>
            </w:r>
          </w:p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Tipo de antena: Omnidirecional</w:t>
            </w:r>
          </w:p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Com indicador LED de atividade: Sim</w:t>
            </w:r>
          </w:p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Padrões Wireless: IEEE 802.11b/g/n 2.4 GHz, IEEE 802.11a/n/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ac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5 GHz</w:t>
            </w:r>
          </w:p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Velocidades Wireless: 600 Mbps (200 Mbps em 2,4 GHz, 433 Mbps em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5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GHz)</w:t>
            </w:r>
          </w:p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Frequência: 2.4 GHz,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5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GHz</w:t>
            </w:r>
          </w:p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Modos Wireless: Modo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Ad-Hoc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/ Infraestrutura</w:t>
            </w:r>
          </w:p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Segurança Wireless: WEP, WPA/WPA2, WPA-PSK/WPA2-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PSK</w:t>
            </w:r>
            <w:proofErr w:type="gramEnd"/>
          </w:p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Tecnologia de Modulação: DBPSK, DQPSK, CCK, OFDM, 16-QAM, 64-QAM, 256-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QAM</w:t>
            </w:r>
            <w:proofErr w:type="gramEnd"/>
          </w:p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Certificação: FCC, CE, </w:t>
            </w:r>
            <w:proofErr w:type="spellStart"/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RoHS</w:t>
            </w:r>
            <w:proofErr w:type="spellEnd"/>
            <w:proofErr w:type="gramEnd"/>
          </w:p>
          <w:p w:rsidR="00E54657" w:rsidRDefault="00FF5FE4" w:rsidP="00AB3CD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Garantia mínima de 12 meses.</w:t>
            </w:r>
          </w:p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Verdana" w:eastAsia="Verdana" w:hAnsi="Verdana" w:cs="Verdana"/>
                <w:b/>
                <w:color w:val="0CA700"/>
                <w:sz w:val="17"/>
                <w:szCs w:val="17"/>
                <w:shd w:val="clear" w:color="auto" w:fill="F9FBFD"/>
              </w:rPr>
              <w:t>3017000001413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R$ 165,84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R$ 33.168,00 </w:t>
            </w:r>
          </w:p>
        </w:tc>
      </w:tr>
      <w:tr w:rsidR="00E54657">
        <w:tc>
          <w:tcPr>
            <w:tcW w:w="7035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TOTAL DO LOTE 03</w:t>
            </w:r>
          </w:p>
        </w:tc>
        <w:tc>
          <w:tcPr>
            <w:tcW w:w="2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R$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145.622,50</w:t>
            </w:r>
          </w:p>
        </w:tc>
      </w:tr>
    </w:tbl>
    <w:p w:rsidR="00E54657" w:rsidRDefault="00E54657" w:rsidP="00AB3CD7">
      <w:pPr>
        <w:widowControl w:val="0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2"/>
        <w:tblW w:w="96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60"/>
        <w:gridCol w:w="5010"/>
        <w:gridCol w:w="735"/>
        <w:gridCol w:w="630"/>
        <w:gridCol w:w="1305"/>
        <w:gridCol w:w="1305"/>
      </w:tblGrid>
      <w:tr w:rsidR="00E54657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Especificação (mínima)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QTD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Valor Unit. 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Valor Total</w:t>
            </w:r>
          </w:p>
        </w:tc>
      </w:tr>
      <w:tr w:rsidR="00E54657">
        <w:tc>
          <w:tcPr>
            <w:tcW w:w="964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LOTE 04</w:t>
            </w:r>
          </w:p>
        </w:tc>
      </w:tr>
      <w:tr w:rsidR="00E54657"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17</w:t>
            </w:r>
          </w:p>
        </w:tc>
        <w:tc>
          <w:tcPr>
            <w:tcW w:w="501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FILTRO DE LINHA TIPO RÉGUA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Filtro de Linha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6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tomadas, em conformidade com a norma NBR 14136; Proteção contra sobrecargas; Comprimento cabo de força igual ou superior 1,20m. Seção nominal do condutor do cabo de força: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3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X 0,75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lastRenderedPageBreak/>
              <w:t>MM²; Corrente mínima: 10 A; Tensão de entrada 127V - 220V. Deve possuir sistema de fixação.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Calibri" w:eastAsia="Calibri" w:hAnsi="Calibri" w:cs="Calibri"/>
                <w:b/>
                <w:color w:val="0CA700"/>
                <w:sz w:val="22"/>
                <w:szCs w:val="22"/>
                <w:shd w:val="clear" w:color="auto" w:fill="F9FBFD"/>
              </w:rPr>
              <w:t>3017000000643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lastRenderedPageBreak/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300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R$ 60,20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R$ 18.060,00 </w:t>
            </w:r>
          </w:p>
        </w:tc>
      </w:tr>
      <w:tr w:rsidR="00E54657"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501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 DRIVE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 xml:space="preserve"> 32 GB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Interface padrão USB 3.0 compatível com USB 2.0 e USB 1.1, Capacidade 32.0 Gigabyte; Suporte: Windows, Linux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Kernel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2.4 ou superior; Sistema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Plug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and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Play, Velocidade de leitura superior a 40 MB/segundo.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Calibri" w:eastAsia="Calibri" w:hAnsi="Calibri" w:cs="Calibri"/>
                <w:b/>
                <w:color w:val="0CA700"/>
                <w:sz w:val="22"/>
                <w:szCs w:val="22"/>
                <w:shd w:val="clear" w:color="auto" w:fill="F9FBFD"/>
              </w:rPr>
              <w:t>3017000000645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300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R$ 63,47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R$ 19.041,00 </w:t>
            </w:r>
          </w:p>
        </w:tc>
      </w:tr>
      <w:tr w:rsidR="00E54657"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19</w:t>
            </w:r>
          </w:p>
        </w:tc>
        <w:tc>
          <w:tcPr>
            <w:tcW w:w="501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 DRIVE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 xml:space="preserve"> 128 GB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Interface padrão USB 3.0 compatível com USB 2.0 e USB 1.1, Capacidade 128.0 Gigabyte; Suporte: Windows, Linux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Kernel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2.4 ou superior; Sistema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Plug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and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Play, Velocidade de leitura superior a 40 MB/segundo.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Garantia mínima de 12 meses.</w:t>
            </w:r>
          </w:p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Verdana" w:eastAsia="Verdana" w:hAnsi="Verdana" w:cs="Verdana"/>
                <w:b/>
                <w:color w:val="0CA700"/>
                <w:sz w:val="17"/>
                <w:szCs w:val="17"/>
                <w:shd w:val="clear" w:color="auto" w:fill="F9FBFD"/>
              </w:rPr>
              <w:t>3017000001414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300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R$ 148,83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R$ 44.649,00 </w:t>
            </w:r>
          </w:p>
        </w:tc>
      </w:tr>
      <w:tr w:rsidR="00E54657"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501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PILHA RECARREGAVEL TIPO AA (PEQUENA) – PACOTE COM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4</w:t>
            </w:r>
            <w:proofErr w:type="gramEnd"/>
          </w:p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Pilha recarregável, tipo Níquel Metal Hidreto (</w:t>
            </w:r>
            <w:proofErr w:type="spellStart"/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-MH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), tamanho AA.</w:t>
            </w:r>
          </w:p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CARACTERÍSTICAS MÍNIMAS:</w:t>
            </w:r>
          </w:p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Capacidade de corrente: mínimo de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2000mAH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précarregada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 pronta para uso,</w:t>
            </w:r>
          </w:p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saída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 carga 1,2 V; Entregue em cartela fechada/lacrada com 04 (QUATRO) unidades (pilhas) sem quaisquer marcas aparentes de violação e/ou de deterioração do produto e/ou embalagem; Garantia mínima de 12 meses;</w:t>
            </w:r>
          </w:p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Verdana" w:eastAsia="Verdana" w:hAnsi="Verdana" w:cs="Verdana"/>
                <w:b/>
                <w:color w:val="0CA700"/>
                <w:sz w:val="17"/>
                <w:szCs w:val="17"/>
                <w:shd w:val="clear" w:color="auto" w:fill="F9FBFD"/>
              </w:rPr>
              <w:t>3017000001415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PCT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100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R$ 76,92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</w:t>
            </w:r>
            <w:proofErr w:type="gramStart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   </w:t>
            </w:r>
            <w:proofErr w:type="gramEnd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7.692,00 </w:t>
            </w:r>
          </w:p>
        </w:tc>
      </w:tr>
      <w:tr w:rsidR="00E54657"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21</w:t>
            </w:r>
          </w:p>
        </w:tc>
        <w:tc>
          <w:tcPr>
            <w:tcW w:w="501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PILHA RECARREGAVEL TIPO AAA (PALITO) – PACOTE COM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4</w:t>
            </w:r>
            <w:proofErr w:type="gramEnd"/>
          </w:p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Pilha recarregável, tipo Níquel Metal Hidreto (</w:t>
            </w:r>
            <w:proofErr w:type="spellStart"/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-MH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), tamanho AAA.</w:t>
            </w:r>
          </w:p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CARACTERÍSTICAS MÍNIMAS:</w:t>
            </w:r>
          </w:p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Capacidade de corrente: mínimo de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1000mAH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précarregada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 pronta para uso, saída de carga 1,2 V; Entregue em cartela fechada/lacrada com 04 (QUATRO) unidades (pilhas) sem quaisquer marcas aparentes de violação e/ou de deterioração do produto e/ou embalagem; Garantia mínima de 12 meses;</w:t>
            </w:r>
          </w:p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Verdana" w:eastAsia="Verdana" w:hAnsi="Verdana" w:cs="Verdana"/>
                <w:b/>
                <w:color w:val="0CA700"/>
                <w:sz w:val="17"/>
                <w:szCs w:val="17"/>
                <w:shd w:val="clear" w:color="auto" w:fill="F9FBFD"/>
              </w:rPr>
              <w:t>3017000001416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PCT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100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R$ 72,02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</w:t>
            </w:r>
            <w:proofErr w:type="gramStart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   </w:t>
            </w:r>
            <w:proofErr w:type="gramEnd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7.202,00 </w:t>
            </w:r>
          </w:p>
        </w:tc>
      </w:tr>
      <w:tr w:rsidR="00E54657"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22</w:t>
            </w:r>
          </w:p>
        </w:tc>
        <w:tc>
          <w:tcPr>
            <w:tcW w:w="501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Carregador de pilhas AA e AAA.</w:t>
            </w:r>
          </w:p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Equipamento portátil para recarga de até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(quatro)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pilhas recarregáveis simultaneamente,</w:t>
            </w:r>
          </w:p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CARACTERÍSTICAS MÍNIMAS: Entrada bivolt automático 127-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220V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; Plugue de entrada incorporado ao dispositivo (sem cabo), compatível com padrão de plugues e tomadas brasileiro, em acordo com a norma</w:t>
            </w:r>
          </w:p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NBR 14.136; Possuir, no mínimo, dois canais de recarga independentes, possibilitando ao menos a recarga de 02 (duas) ou 04 (quatro) pilhas simultaneamente; Suporte a recarga de pilhas do tipo Níquel Metal Hidreto (</w:t>
            </w:r>
            <w:proofErr w:type="spellStart"/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NiMH</w:t>
            </w:r>
            <w:proofErr w:type="spellEnd"/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) dos tamanhos AA/LR6 (pequena) e AAA/LR03 (palito) no mesmo equipamento; Possuir indicação luminosa (LED) indicando, no mínimo: pilha em carga e pilha carregada ou desligamento automático quando a carga estiver completa; Tempo de carga entre 05 e 15 horas (ou menor); Garantia mínima de 12 meses</w:t>
            </w:r>
          </w:p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SIPAC </w:t>
            </w:r>
            <w:r>
              <w:rPr>
                <w:rFonts w:ascii="Verdana" w:eastAsia="Verdana" w:hAnsi="Verdana" w:cs="Verdana"/>
                <w:b/>
                <w:color w:val="0CA700"/>
                <w:sz w:val="17"/>
                <w:szCs w:val="17"/>
                <w:shd w:val="clear" w:color="auto" w:fill="F9FBFD"/>
              </w:rPr>
              <w:t>3017000001417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lastRenderedPageBreak/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60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R$ 135,75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</w:t>
            </w:r>
            <w:proofErr w:type="gramStart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   </w:t>
            </w:r>
            <w:proofErr w:type="gramEnd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8.145,00 </w:t>
            </w:r>
          </w:p>
        </w:tc>
      </w:tr>
      <w:tr w:rsidR="00E54657">
        <w:tc>
          <w:tcPr>
            <w:tcW w:w="7035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lastRenderedPageBreak/>
              <w:t>TOTAL DO LOTE 04</w:t>
            </w:r>
          </w:p>
        </w:tc>
        <w:tc>
          <w:tcPr>
            <w:tcW w:w="2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R$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104.789,00</w:t>
            </w:r>
          </w:p>
        </w:tc>
      </w:tr>
    </w:tbl>
    <w:p w:rsidR="00E54657" w:rsidRDefault="00E54657" w:rsidP="00AB3CD7">
      <w:pPr>
        <w:widowControl w:val="0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3"/>
        <w:tblW w:w="96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60"/>
        <w:gridCol w:w="5010"/>
        <w:gridCol w:w="735"/>
        <w:gridCol w:w="630"/>
        <w:gridCol w:w="1305"/>
        <w:gridCol w:w="1305"/>
      </w:tblGrid>
      <w:tr w:rsidR="00E54657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Especificação (mínima)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QTD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Valor Unit.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Valor Total</w:t>
            </w:r>
          </w:p>
        </w:tc>
      </w:tr>
      <w:tr w:rsidR="00E54657">
        <w:tc>
          <w:tcPr>
            <w:tcW w:w="964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54657" w:rsidRDefault="00FF5FE4" w:rsidP="00AB3CD7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LOTE 05</w:t>
            </w:r>
          </w:p>
        </w:tc>
      </w:tr>
      <w:tr w:rsidR="00E54657"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23</w:t>
            </w:r>
          </w:p>
        </w:tc>
        <w:tc>
          <w:tcPr>
            <w:tcW w:w="501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Bateria recarregável Selada para Nobreak</w:t>
            </w:r>
            <w:r w:rsidRPr="00FF5FE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F5FE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12V</w:t>
            </w:r>
            <w:proofErr w:type="gramEnd"/>
            <w:r w:rsidRPr="00FF5FE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</w:t>
            </w:r>
            <w:r w:rsidRPr="00FF5FE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Ah ou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6</w:t>
            </w:r>
            <w:r w:rsidRPr="00FF5FE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Ah. </w:t>
            </w:r>
            <w:proofErr w:type="gramStart"/>
            <w:r w:rsidRPr="00FF5FE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para</w:t>
            </w:r>
            <w:proofErr w:type="gramEnd"/>
            <w:r w:rsidRPr="00FF5FE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uso em Nobreak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 Produto deve obedecer a Resolução Conama nº 401, de 4 de novembro de 2008, IBAMA.</w:t>
            </w:r>
          </w:p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strike/>
                <w:color w:val="000000"/>
                <w:sz w:val="22"/>
                <w:szCs w:val="22"/>
              </w:rPr>
            </w:pPr>
            <w:r w:rsidRPr="00FB0BBC"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>SIPAC</w:t>
            </w:r>
            <w:proofErr w:type="gramStart"/>
            <w:r w:rsidRPr="00FB0BBC"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  </w:t>
            </w:r>
            <w:proofErr w:type="gramEnd"/>
            <w:r w:rsidRPr="00FB0BBC">
              <w:rPr>
                <w:rFonts w:ascii="Verdana" w:eastAsia="Verdana" w:hAnsi="Verdana" w:cs="Verdana"/>
                <w:b/>
                <w:color w:val="0CA700"/>
                <w:sz w:val="17"/>
                <w:szCs w:val="17"/>
                <w:shd w:val="clear" w:color="auto" w:fill="F9FBFD"/>
              </w:rPr>
              <w:t>3017000001418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Pr="00FF5FE4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F5FE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Pr="00FF5FE4" w:rsidRDefault="00AB3CD7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F5FE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</w:t>
            </w:r>
            <w:r w:rsidR="00FF5FE4" w:rsidRPr="00FF5FE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Pr="00FF5FE4" w:rsidRDefault="00FF5FE4" w:rsidP="002C7EB4">
            <w:pPr>
              <w:widowControl w:val="0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F5FE4"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R$ </w:t>
            </w:r>
            <w:r w:rsidR="002C7EB4"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95</w:t>
            </w:r>
            <w:r w:rsidRPr="00FF5FE4"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,</w:t>
            </w:r>
            <w:r w:rsidR="002C7EB4"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31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Pr="00FF5FE4" w:rsidRDefault="00FF5FE4" w:rsidP="0055332F">
            <w:pPr>
              <w:widowControl w:val="0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F5FE4"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</w:t>
            </w:r>
            <w:r w:rsidR="0055332F">
              <w:rPr>
                <w:rFonts w:ascii="Calibri" w:hAnsi="Calibri" w:cs="Calibri"/>
                <w:color w:val="333333"/>
                <w:sz w:val="22"/>
                <w:szCs w:val="22"/>
              </w:rPr>
              <w:t xml:space="preserve"> 47.655,00</w:t>
            </w:r>
          </w:p>
        </w:tc>
      </w:tr>
      <w:tr w:rsidR="00E54657">
        <w:tc>
          <w:tcPr>
            <w:tcW w:w="66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24</w:t>
            </w:r>
          </w:p>
        </w:tc>
        <w:tc>
          <w:tcPr>
            <w:tcW w:w="5010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Bateria recarregável, selada, uso: nobreak, sistema eletroquímico: chumbo-ácido, capacidade nominal: 7AH ou 8AH, faixa temperatura de trabalho: 25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°c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corrente: 180 a, tensão nominal: 12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</w:t>
            </w:r>
            <w:proofErr w:type="gramEnd"/>
          </w:p>
          <w:p w:rsidR="00E54657" w:rsidRDefault="00FF5FE4" w:rsidP="00AB3CD7">
            <w:pPr>
              <w:widowControl w:val="0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Produto deve obedecer a Resolução Conama nº 401, de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 novembro de 2008, IBAMA.</w:t>
            </w:r>
          </w:p>
          <w:p w:rsidR="00E54657" w:rsidRDefault="00FF5FE4" w:rsidP="00AB3CD7">
            <w:pPr>
              <w:widowControl w:val="0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>SIPAC</w:t>
            </w:r>
            <w:proofErr w:type="gramStart"/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Verdana" w:eastAsia="Verdana" w:hAnsi="Verdana" w:cs="Verdana"/>
                <w:b/>
                <w:color w:val="0CA700"/>
                <w:sz w:val="17"/>
                <w:szCs w:val="17"/>
                <w:shd w:val="clear" w:color="auto" w:fill="F9FBFD"/>
              </w:rPr>
              <w:t>3017000001419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AB3CD7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  <w:r w:rsidR="00FF5FE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widowControl w:val="0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R$ 119,17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55332F">
            <w:pPr>
              <w:widowControl w:val="0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</w:t>
            </w:r>
            <w:r w:rsidR="0055332F">
              <w:rPr>
                <w:rFonts w:ascii="Calibri" w:hAnsi="Calibri" w:cs="Calibri"/>
                <w:color w:val="333333"/>
                <w:sz w:val="22"/>
                <w:szCs w:val="22"/>
              </w:rPr>
              <w:t xml:space="preserve"> 35.751,00</w:t>
            </w:r>
          </w:p>
        </w:tc>
      </w:tr>
      <w:tr w:rsidR="00E54657">
        <w:tc>
          <w:tcPr>
            <w:tcW w:w="7035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TOTAL DO LOTE 05</w:t>
            </w:r>
          </w:p>
        </w:tc>
        <w:tc>
          <w:tcPr>
            <w:tcW w:w="2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55332F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R$</w:t>
            </w:r>
            <w:proofErr w:type="gramStart"/>
            <w:r w:rsidR="0055332F"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proofErr w:type="gramEnd"/>
            <w:r w:rsidR="0055332F">
              <w:rPr>
                <w:rFonts w:ascii="Calibri" w:hAnsi="Calibri" w:cs="Calibri"/>
                <w:sz w:val="22"/>
                <w:szCs w:val="22"/>
              </w:rPr>
              <w:t>83.406,00</w:t>
            </w:r>
            <w:r w:rsidR="0055332F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  </w:t>
            </w:r>
          </w:p>
        </w:tc>
      </w:tr>
    </w:tbl>
    <w:p w:rsidR="00E54657" w:rsidRDefault="00E54657" w:rsidP="00AB3CD7">
      <w:pPr>
        <w:widowControl w:val="0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4"/>
        <w:tblW w:w="96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35"/>
        <w:gridCol w:w="4935"/>
        <w:gridCol w:w="735"/>
        <w:gridCol w:w="630"/>
        <w:gridCol w:w="1305"/>
        <w:gridCol w:w="1305"/>
      </w:tblGrid>
      <w:tr w:rsidR="00E5465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Especificação (mínima)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QTD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Valor Unit. 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Valor Total</w:t>
            </w:r>
          </w:p>
        </w:tc>
      </w:tr>
      <w:tr w:rsidR="00E54657">
        <w:tc>
          <w:tcPr>
            <w:tcW w:w="964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LOTE 06</w:t>
            </w:r>
          </w:p>
        </w:tc>
      </w:tr>
      <w:tr w:rsidR="00E54657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25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Cabo de rede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tipo(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Patch Cord cat5e) 1,5 metros.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Características: Comprimento: 1,5 metros; Cor azul; Conector: RJ-45; Tipo: U/UTP Cat.5e; Quantidade de Pares: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pares, 24AWG; Padrão de Montagem: T568A/B; Montado e testado 100% em fábrica; Capas termoplásticas protetoras("boot") injetadas; Conectores RJ-45 com garras duplas que garantem a vinculação elétrica com as veias do cabo; Material do corpo do produto: Termoplástico transparente não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propagante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a chama UL 94V-0; Embalagem: Saco plástico transparente com etiqueta de identificação; Norma: EIA/TIA 568 C.2 e seus adendos, ISO/IEC DIS 11801, NBR 14565; -Certificação: UL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Listed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E173971, ETL 4 conexões 3075278-003, ISO9001/ISO14001 416253 ETL LISTED, ETL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Verified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3126372CRT-001c, ANATEL 1277-07-0256 (cabo U/UTP Cat.5e flexível), 1279-07-0256 (cabo de manobra);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>SIPAC</w:t>
            </w:r>
            <w:r>
              <w:rPr>
                <w:rFonts w:ascii="Calibri" w:eastAsia="Calibri" w:hAnsi="Calibri" w:cs="Calibri"/>
                <w:b/>
                <w:color w:val="0CA700"/>
                <w:sz w:val="22"/>
                <w:szCs w:val="22"/>
                <w:shd w:val="clear" w:color="auto" w:fill="F9FBFD"/>
              </w:rPr>
              <w:t xml:space="preserve"> 3017000000652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R$ 22,95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</w:t>
            </w:r>
            <w:proofErr w:type="gramStart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   </w:t>
            </w:r>
            <w:proofErr w:type="gramEnd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4.590,00 </w:t>
            </w:r>
          </w:p>
        </w:tc>
      </w:tr>
      <w:tr w:rsidR="00E54657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lastRenderedPageBreak/>
              <w:t>26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Cabo de rede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tipo(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Patch Cord cat5e) 2,5 metros.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Características: Comprimento: 2,5 metros; Cor azul; Conector: RJ-45; Tipo: U/UTP Cat.5e; Quantidade de Pares: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pares, 24AWG; Padrão de Montagem: T568A/B; Montado e testado 100% em fábrica; Capas termoplásticas protetoras("boot") injetadas; Conectores RJ-45 com garras duplas que garantem a vinculação elétrica com as veias do cabo; Rastreamento: Etiqueta com número de série em uma das extremidades; Material do corpo do produto: Termoplástico transparente não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propagante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a chama UL 94V-0; Embalagem: Saco plástico transparente com etiqueta de identificação; Norma: EIA/TIA 568 C.2 e seus adendos, ISO/IEC DIS 11801, NBR 14565; -Certificação: UL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Listed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E173971, ETL 4 conexões 3075278-003, ISO9001/ISO14001 416253 ETL LISTED, ETL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Verified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3126372CRT-001c, ANATEL 1277-07-0256 (cabo U/UTP Cat.5e flexível), 1279-07-0256 (cabo de manobra);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>SIPAC</w:t>
            </w:r>
            <w:r>
              <w:rPr>
                <w:rFonts w:ascii="Calibri" w:eastAsia="Calibri" w:hAnsi="Calibri" w:cs="Calibri"/>
                <w:b/>
                <w:color w:val="0CA700"/>
                <w:sz w:val="22"/>
                <w:szCs w:val="22"/>
                <w:shd w:val="clear" w:color="auto" w:fill="F9FBFD"/>
              </w:rPr>
              <w:t xml:space="preserve"> 3017000000653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R$ 33,68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R$ 10.104,00 </w:t>
            </w:r>
          </w:p>
        </w:tc>
      </w:tr>
      <w:tr w:rsidR="00E54657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27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Cabo de rede (PATCH CORD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CAT6a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) 1,5 Metros.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bookmarkStart w:id="1" w:name="_heading=h.gjdgxs" w:colFirst="0" w:colLast="0"/>
            <w:bookmarkEnd w:id="1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Características: Comprimento: 1,5 metros; Cor azul; Conector: RJ-45; Tipo: U/UTP Cat6a; Montado e testado 100% em fábrica; Capas termoplásticas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protetoras(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"boot") injetadas; Conectores RJ-45 com garras duplas que garantem a vinculação elétrica com as veias do cabo; Rastreamento: Etiqueta com número de série em uma das extremidades; Material do corpo do produto: Termoplástico transparente não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propagante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a chama UL 94V-0; Embalagem: Saco plástico transparente com etiqueta de identificação; Norma: EIA/TIA 568 C.2 e seus adendos, ANSI/TIAEIA-569, ISO/IEC 11801, FCC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part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68, ANSI/TIA/EIA 606B; Certificação: UL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Listed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E173971, ETL 4 conexões 3073041-003, ETL 6 Conexões 3118430CRT-003, ISO9001/ISO14001 416253 ETL LISTED, UL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Listed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E173971, ETL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Verified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3126372CRT-002c, ANATEL 1276-07-0256 (cabo U/UTP Cat6 flexível), 1278-07-0256 (cabo de manobra);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>SIPAC</w:t>
            </w:r>
            <w:r>
              <w:rPr>
                <w:rFonts w:ascii="Calibri" w:eastAsia="Calibri" w:hAnsi="Calibri" w:cs="Calibri"/>
                <w:b/>
                <w:color w:val="0CA700"/>
                <w:sz w:val="22"/>
                <w:szCs w:val="22"/>
                <w:shd w:val="clear" w:color="auto" w:fill="F9FBFD"/>
              </w:rPr>
              <w:t xml:space="preserve"> 3017000000654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R$ 39,64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</w:t>
            </w:r>
            <w:proofErr w:type="gramStart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   </w:t>
            </w:r>
            <w:proofErr w:type="gramEnd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3.964,00 </w:t>
            </w:r>
          </w:p>
        </w:tc>
      </w:tr>
      <w:tr w:rsidR="00E54657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Cabo de rede (PATCH CORD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CAT6a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) 2,5 Metros.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bookmarkStart w:id="2" w:name="_heading=h.30j0zll" w:colFirst="0" w:colLast="0"/>
            <w:bookmarkEnd w:id="2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Características: Comprimento: 2,5 metros; Cor azul; Tipo de Conector: RJ-45; Tipo de cabo: U/UTP Cat.6a; Montado e testado 100% em fábrica; Capas termoplásticas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protetoras(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"boot") injetadas; Conectores RJ-45 com garras duplas que garantem a vinculação elétrica com as veias do cabo; Rastreamento: Etiqueta com número de série em uma das extremidades; Material do corpo do produto: Termoplástico transparente não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propagante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a chama UL 94V-0; Tipo de Embalagem: Saco plástico transparente com etiqueta de identificação; Norma: EIA/TIA 568 C.2 e seus adendos, ANSI/TIAEIA-569, ISO/IEC 11801, FCC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part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68, ANSI/TIA/EIA 606B; Certificação: UL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Listed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E173971, ETL 4 conexões 3073041-003, ETL 6 Conexões 3118430CRT-003, ISO9001/ISO14001 416253 ETL LISTED, UL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Listed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E173971, ETL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Verified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3126372CRT-002c, ANATEL 1276-07-0256 (cabo U/UTP Cat.6 flexível), 1278-07-0256 (cabo de manobra);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>SIPAC</w:t>
            </w:r>
            <w:r>
              <w:rPr>
                <w:rFonts w:ascii="Calibri" w:eastAsia="Calibri" w:hAnsi="Calibri" w:cs="Calibri"/>
                <w:b/>
                <w:color w:val="0CA700"/>
                <w:sz w:val="22"/>
                <w:szCs w:val="22"/>
                <w:shd w:val="clear" w:color="auto" w:fill="F9FBFD"/>
              </w:rPr>
              <w:t xml:space="preserve"> 3017000000655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R$ 53,65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R$ 10.730,00 </w:t>
            </w:r>
          </w:p>
        </w:tc>
      </w:tr>
      <w:tr w:rsidR="00E54657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29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Conector de rede RJ-45 Cat5e</w:t>
            </w:r>
          </w:p>
          <w:p w:rsidR="00E54657" w:rsidRDefault="00FF5FE4" w:rsidP="00AB3C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Conector macho RJ-45 EIA/TIA-568C para cabeamento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CAT5e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contatos adequados para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conectorização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 condutores sólidos de 22 a 26 AWG, compatível com ferramenta de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crimpagem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Amp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 Furukawa, conformidade com a Diretiva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Européia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RoHS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corpo em termoplástico não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propagante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à chama (UL 94 V-0).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>SIPAC</w:t>
            </w:r>
            <w:r>
              <w:rPr>
                <w:rFonts w:ascii="Calibri" w:eastAsia="Calibri" w:hAnsi="Calibri" w:cs="Calibri"/>
                <w:b/>
                <w:color w:val="0CA700"/>
                <w:sz w:val="22"/>
                <w:szCs w:val="22"/>
                <w:shd w:val="clear" w:color="auto" w:fill="F9FBFD"/>
              </w:rPr>
              <w:t xml:space="preserve"> 3017000000656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R$ 3,62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</w:t>
            </w:r>
            <w:proofErr w:type="gramStart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   </w:t>
            </w:r>
            <w:proofErr w:type="gramEnd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4.344,00 </w:t>
            </w:r>
          </w:p>
        </w:tc>
      </w:tr>
      <w:tr w:rsidR="00E54657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Conector M8v Fêmea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(cat5e)</w:t>
            </w:r>
          </w:p>
          <w:p w:rsidR="00E54657" w:rsidRDefault="00FF5FE4" w:rsidP="00AB3C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Conector fêmea RJ-45 EIA/TIA-568C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CAT5e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Características: Padrão de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crimpagem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T568A ou T568B; Corpo em termoplástico de alto impacto não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propagante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à chama (UL 94 V-0); Terminais de conexão: Em bronze fosforoso estanhado, padrão 110 IDC, para condutores de 22 a 26 AWG; Suporte a norma: IEEE 802.3, 1000 BASE T, 1000 BASE TX, EIA/TIA-854, ANSI-EIA/TIA-862, ATM, Vídeo, Sistemas de Automação Predial e todos os protocolos LAN anteriores.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>SIPAC</w:t>
            </w:r>
            <w:r>
              <w:rPr>
                <w:rFonts w:ascii="Calibri" w:eastAsia="Calibri" w:hAnsi="Calibri" w:cs="Calibri"/>
                <w:b/>
                <w:color w:val="0CA700"/>
                <w:sz w:val="22"/>
                <w:szCs w:val="22"/>
                <w:shd w:val="clear" w:color="auto" w:fill="F9FBFD"/>
              </w:rPr>
              <w:t xml:space="preserve"> 3017000000657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R$ 14,59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</w:t>
            </w:r>
            <w:proofErr w:type="gramStart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   </w:t>
            </w:r>
            <w:proofErr w:type="gramEnd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7.295,00 </w:t>
            </w:r>
          </w:p>
        </w:tc>
      </w:tr>
      <w:tr w:rsidR="00E54657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31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Conector de rede RJ-45 Cat6a</w:t>
            </w:r>
          </w:p>
          <w:p w:rsidR="00E54657" w:rsidRDefault="00FF5FE4" w:rsidP="00AB3C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Conector macho RJ-45 EIA/TIA-568C para cabeamento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CAT6a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contatos adequados para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conectorização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 condutores sólidos de 22 a 26 AWG; Compatível com ferramenta de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crimpagem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Amp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 Furukawa, conformidade com a Diretiva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Européia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RoHS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; Corpo em termoplástico não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propagante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à chama (UL 94 V-0). Atender a norma FCC 68.5 (EMI – Interferência Eletromagnética).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>SIPAC</w:t>
            </w:r>
            <w:r>
              <w:rPr>
                <w:rFonts w:ascii="Calibri" w:eastAsia="Calibri" w:hAnsi="Calibri" w:cs="Calibri"/>
                <w:b/>
                <w:color w:val="0CA700"/>
                <w:sz w:val="22"/>
                <w:szCs w:val="22"/>
                <w:shd w:val="clear" w:color="auto" w:fill="F9FBFD"/>
              </w:rPr>
              <w:t xml:space="preserve"> 3017000000658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R$ 14,11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</w:t>
            </w:r>
            <w:proofErr w:type="gramStart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   </w:t>
            </w:r>
            <w:proofErr w:type="gramEnd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5.644,00 </w:t>
            </w:r>
          </w:p>
        </w:tc>
      </w:tr>
      <w:tr w:rsidR="00E54657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keepLines/>
              <w:widowControl w:val="0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Conector M8v Fêmea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(cat6a)</w:t>
            </w:r>
          </w:p>
          <w:p w:rsidR="00E54657" w:rsidRDefault="00FF5FE4" w:rsidP="00AB3C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Conector fêmea RJ-45 EIA/TIA-568C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CAT6a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Características: Padrão de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cripagem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: T568A ou T568B; corpo em termoplástico de alto impacto não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propagante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à chama (UL 94 V-0); Terminais de conexão: Em bronze fosforoso estanhado, padrão 110 IDC, para condutores de 22 a 26 AWG; Suporte a norma: IEEE 802.3, 1000 BASE T, 1000 BASE TX, EIA/TIA-854, ANSI-EIA/TIA-862, ATM, Vídeo, Sistemas de Automação Predial 10G-BASE-T (TBS – 155) e todos os protocolos LAN anteriores.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>SIPAC</w:t>
            </w:r>
            <w:r>
              <w:rPr>
                <w:rFonts w:ascii="Calibri" w:eastAsia="Calibri" w:hAnsi="Calibri" w:cs="Calibri"/>
                <w:b/>
                <w:color w:val="0CA700"/>
                <w:sz w:val="22"/>
                <w:szCs w:val="22"/>
                <w:shd w:val="clear" w:color="auto" w:fill="F9FBFD"/>
              </w:rPr>
              <w:t xml:space="preserve"> 3017000000659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R$ 39,30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</w:t>
            </w:r>
            <w:proofErr w:type="gramStart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   </w:t>
            </w:r>
            <w:proofErr w:type="gramEnd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3.930,00 </w:t>
            </w:r>
          </w:p>
        </w:tc>
      </w:tr>
      <w:tr w:rsidR="00E54657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33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 xml:space="preserve">CAIXA DE CABO DE REDE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CAT5e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 xml:space="preserve"> (305m)</w:t>
            </w:r>
          </w:p>
          <w:p w:rsidR="00E54657" w:rsidRDefault="00FF5FE4" w:rsidP="00AB3CD7">
            <w:pPr>
              <w:widowControl w:val="0"/>
              <w:ind w:left="0" w:right="57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Características: Cabo tipo LAN, cor azul ou cinza, ambiente de instalação interno, categoria 5e, U/UTP (não blindado) PVC – CMX; Cabo de pares trançados compostos de condutores sólidos de cobre nu, com diâmetro nominal de 24 AWG; Isolamento: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Poliolefina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com diâmetro nominal 0.9mm; Resistência de isolamento: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1000 M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Ω.km; Quantidade de pares: 4 pares 24 AWG; Não Blindado (U/UTP); Capa: Constituído por PVC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retardante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a chama; Diâmetro Nominal: 4,8 mm; Comprimento 305 m; Classe de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Flamabilidade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CMX: IEC 60332-1 conforme ABNT NBR 14705. Temperatura de Instalação 0ºC a 50ºC; Temperatura de Armazenamento -20ºC a 70ºC; Temperatura de Operação -20ºC a 60ºC; Padrões a serem utilizados: a) ATM – 155 (UTP), AF-PHY-OO15.000 e AF-PHY-0018.00,155/51/25Mbbps; b) TP-PMD, ANSI X3T9.5, 100Mbps; c) GIGABIT ETHERNET, IEEE 802.3z, 1000 Mbps; d) 100BASE-TX, IEEE 802.3u, 100 Mbps; e) 100BASE-T4, IEEE 802.3u, 100 Mbps; f) 100vg-AnyLAN, IEE802.12, 100 Mbps; g) 10Base-T, IEE 802.3, 10 Mbps; h) TOKEN RING, IEE 802.5, 4/16 Mbps; i) 3X-AS400, INM, 10 Mbps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>SIPAC</w:t>
            </w:r>
            <w:r>
              <w:rPr>
                <w:rFonts w:ascii="Calibri" w:eastAsia="Calibri" w:hAnsi="Calibri" w:cs="Calibri"/>
                <w:b/>
                <w:color w:val="0CA700"/>
                <w:sz w:val="22"/>
                <w:szCs w:val="22"/>
                <w:shd w:val="clear" w:color="auto" w:fill="F9FBFD"/>
              </w:rPr>
              <w:t xml:space="preserve"> 3017000000665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10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R$ 477,71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</w:t>
            </w:r>
            <w:proofErr w:type="gramStart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   </w:t>
            </w:r>
            <w:proofErr w:type="gramEnd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4.777,10 </w:t>
            </w:r>
          </w:p>
        </w:tc>
      </w:tr>
      <w:tr w:rsidR="00E54657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34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CAIXA DE CABO DE REDE CAT6 (305m)</w:t>
            </w:r>
          </w:p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Características: Cabo tipo LAN, cor azul ou cinza, ambiente de instalação interno, categoria 6e e ISO/IEC-11801, U/UTP (não blindado); Fio: Sólido de cobre eletrolítico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nú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, recozido com diâmetro nominal de 23 AWG; Isolamento: polietileno de alta densidade com diâmetro nominal 1.0 mm; Resistência de isolamento: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10000 M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Ω.km, com 4 pares, 23 AWG;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lastRenderedPageBreak/>
              <w:t xml:space="preserve">Necessita atender os requisitos físicos e elétricos das normas ANSI/TIA/EIA-568C.2 e ISO/IEC11801; A construção do cabo deve obedecer as diretivas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RoHS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Restriction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of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Hazardous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Substances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); Não Blindado (U/UTP); Capa: Constituído por PVC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retardante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a chama; Diâmetro Nominal: 4,8 mm; Comprimento 305 m; Classe de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Flamabilidade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CMX: IEC 60332-1 conforme ABNT NBR 14705. Temperatura de Instalação 0ºC a 50ºC; Temperatura de Armazenamento -20ºC a 70ºC; Temperatura de Operação -20ºC a 60ºC; Comprimento: 305 m; Padrões a serem utilizados: a) ATM -155 (UTP), AF-PHY-OO15.000 e AF-PHY-0018.000, 155/51/25 Mbps; b)TP-PMD, ANSI X3T9.5, 100 Mbps; c) GIGABIT ETHERNET, IEEE 802.3ab 1000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baseT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, IEEE 802.3an 2006; d) 100BASE-TX, IEEE 802.3u, 100 Mbps; e) 100BASE-T4, IEEE 802.3u ,100 Mbps; f) 100vg-AnyLAN, IEEE802.12, 100 Mbps; g) 10BASE-T , IEEE802.3, 10 Mbps; h) TOKEN RING, IEEE802.5, 4/16 Mbps; i) 3X-AS400, IBM, 10 Mbps; j) Compatível com conector RJ-45 macho Cat.6; k) TSB-155 e l) ATM LAN 1.2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Gbit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/s, AF-PHY 0162.000 2001.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>SIPAC</w:t>
            </w:r>
            <w:r>
              <w:rPr>
                <w:rFonts w:ascii="Calibri" w:eastAsia="Calibri" w:hAnsi="Calibri" w:cs="Calibri"/>
                <w:b/>
                <w:color w:val="0CA700"/>
                <w:sz w:val="22"/>
                <w:szCs w:val="22"/>
                <w:shd w:val="clear" w:color="auto" w:fill="F9FBFD"/>
              </w:rPr>
              <w:t xml:space="preserve"> 3017000000666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lastRenderedPageBreak/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5</w:t>
            </w:r>
            <w:proofErr w:type="gramEnd"/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R$ 892,30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</w:t>
            </w:r>
            <w:proofErr w:type="gramStart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   </w:t>
            </w:r>
            <w:proofErr w:type="gramEnd"/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4.461,50 </w:t>
            </w:r>
          </w:p>
        </w:tc>
      </w:tr>
      <w:tr w:rsidR="00E54657"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lastRenderedPageBreak/>
              <w:t>35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4" w:space="0" w:color="000000"/>
            </w:tcBorders>
          </w:tcPr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 xml:space="preserve">CONVERSOR MÍDIA MONOMODO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>20KM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highlight w:val="white"/>
              </w:rPr>
              <w:t xml:space="preserve"> </w:t>
            </w:r>
          </w:p>
          <w:p w:rsidR="00E54657" w:rsidRDefault="00FF5FE4" w:rsidP="00AB3CD7">
            <w:pPr>
              <w:widowControl w:val="0"/>
              <w:ind w:left="0" w:right="57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Características: Conversão de sinal óptico para sinal elétrico em uma rede local (UTP);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1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conector SC de fibra ótica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Monomodo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; 1 conector UTP RJ45 10/100 Mbps com detecção automática do tipo de cabo; 1 conector SC fêmea e 1 conector RJ45 fêmea (Auto MDI/MDIX);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Autonegociação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de modo duplex na porta TX; MDI/MDI-X automático com negociação de velocidade na porta TP.; Chaveamento manual para a configuração de velocidade e modo duplex na porta TP.; Chaveamento manual para a configuração de modo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Full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Half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duplex na porta FX; Estende a distância do enlace de fibra até 20 km com fibra (100BASE-T: 100 m 100BASE-FX: 20 km);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Monomodo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; Comprimento de onda de 1310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nm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;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LEDs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indicadores de atividade e link das portas TP e FX; Fonte de energia externa bivolt automática DC 9 V/0,6 A; Atender aos padrões: IEEE802.3 10BASE-T IEEE802.3u 100BASE-TX/100BASE-FX IEEE802.3x; Cabeamento suportado: 100BASE-T: UTP categoria do cabo 5, 5 e (máximo 100 m) 100BASE-FX: Fibra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Monomodo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duplex 9/125.Capacidade de transmissão: 148.800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pps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. Características de ambiente Temperatura de operação: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0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°C a 40 °C (32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°F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a 104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°F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) Temperatura de armazenamento: -10 °C a 70 °C (14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°F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 xml:space="preserve"> a 158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°F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) Umidade de operação: 10% a 90% Umidade de armazenamento: 5% a 90% Dimensões 94,5 x 73 x 27 mm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lastRenderedPageBreak/>
              <w:t>Garantia mínima de 12 meses.</w:t>
            </w:r>
          </w:p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57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538135"/>
                <w:sz w:val="22"/>
                <w:szCs w:val="22"/>
              </w:rPr>
              <w:t>SIPAC</w:t>
            </w:r>
            <w:r>
              <w:rPr>
                <w:rFonts w:ascii="Calibri" w:eastAsia="Calibri" w:hAnsi="Calibri" w:cs="Calibri"/>
                <w:b/>
                <w:color w:val="0CA700"/>
                <w:sz w:val="22"/>
                <w:szCs w:val="22"/>
                <w:shd w:val="clear" w:color="auto" w:fill="F9FBFD"/>
              </w:rPr>
              <w:t xml:space="preserve"> 3017000000667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widowControl w:val="0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lastRenderedPageBreak/>
              <w:t>UND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20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>R$ 677,60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33"/>
                <w:sz w:val="22"/>
                <w:szCs w:val="22"/>
              </w:rPr>
              <w:t xml:space="preserve">R$ 13.552,00 </w:t>
            </w:r>
          </w:p>
        </w:tc>
      </w:tr>
      <w:tr w:rsidR="00E54657">
        <w:tc>
          <w:tcPr>
            <w:tcW w:w="7035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lastRenderedPageBreak/>
              <w:t>TOTAL DO LOTE 06</w:t>
            </w:r>
          </w:p>
        </w:tc>
        <w:tc>
          <w:tcPr>
            <w:tcW w:w="26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R$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  73.391,60 </w:t>
            </w:r>
          </w:p>
        </w:tc>
      </w:tr>
    </w:tbl>
    <w:p w:rsidR="00E54657" w:rsidRDefault="00E54657" w:rsidP="00AB3CD7">
      <w:pPr>
        <w:widowControl w:val="0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E54657" w:rsidRDefault="00E54657" w:rsidP="00AB3CD7">
      <w:pPr>
        <w:widowControl w:val="0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5"/>
        <w:tblW w:w="96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35"/>
        <w:gridCol w:w="2610"/>
      </w:tblGrid>
      <w:tr w:rsidR="00E54657">
        <w:tc>
          <w:tcPr>
            <w:tcW w:w="7035" w:type="dxa"/>
            <w:vAlign w:val="center"/>
          </w:tcPr>
          <w:p w:rsidR="00E54657" w:rsidRDefault="00FF5FE4" w:rsidP="00AB3CD7">
            <w:pPr>
              <w:widowControl w:val="0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TOTAL ESTIMADO DA LICITAÇÃO</w:t>
            </w:r>
          </w:p>
        </w:tc>
        <w:tc>
          <w:tcPr>
            <w:tcW w:w="2610" w:type="dxa"/>
            <w:vAlign w:val="center"/>
          </w:tcPr>
          <w:p w:rsidR="00E54657" w:rsidRDefault="00FF5FE4" w:rsidP="0055332F">
            <w:pPr>
              <w:widowControl w:val="0"/>
              <w:ind w:left="0" w:hanging="2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R$</w:t>
            </w:r>
            <w:r w:rsidR="0055332F">
              <w:rPr>
                <w:rFonts w:ascii="Calibri" w:hAnsi="Calibri" w:cs="Calibri"/>
                <w:sz w:val="22"/>
                <w:szCs w:val="22"/>
              </w:rPr>
              <w:t xml:space="preserve">       899.229,60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</w:tbl>
    <w:p w:rsidR="00E54657" w:rsidRDefault="00E54657" w:rsidP="00AB3CD7">
      <w:pPr>
        <w:widowControl w:val="0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E54657" w:rsidRDefault="00E54657" w:rsidP="00AB3CD7">
      <w:pPr>
        <w:widowControl w:val="0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E6E6E6"/>
        <w:tabs>
          <w:tab w:val="left" w:pos="348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5. MODELO DE LICITAÇÃO E DE CONTRATAÇÃO ADOTADO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5.1. A modalidade de licitação proposta para a contratação dos bens de TI é o Pregão Eletrônico SRP visando a obtenção da proposta mais vantajosa, com a finalidade de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proceder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Registro de Preços, conforme Decreto nº 7.892/2013, tendo em vista tratar-se de bens que se enquadram no conceito de serviços comuns para fins do disposto no Art. 4º do Decreto nº 5.450/2005, e como preconizado no art. 1° da Lei 10.520/2002.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5.2. O objeto a ser contratado enquadra-se na categoria de bens e serviços comuns, de que tratam as Leis nº 10.520/2002 e 10.024/2019, por possuir padrões de desempenho e características gerais e específicas, usualmente encontradas no mercado, podendo, portanto, ser licitado por meio da modalidade Pregão, na sua forma eletrônica. A opção pela adoção do Sistema de Registro de Preços (SRP) deve-se ao fato de este sistema ser um forte aliado aos princípios da eficiência e da economicidade, reduzindo a quantidade de licitações, por registrar preços e disponibilizá-los por um ano. (Assim, enquadra-se no Decreto nº 7892/2013, artigo 3º, inciso IV).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i/>
          <w:color w:val="000000"/>
          <w:sz w:val="22"/>
          <w:szCs w:val="22"/>
          <w:highlight w:val="white"/>
        </w:rPr>
        <w:t>“Art. 3º O Sistema de Registro de Preços poderá ser adotado nas seguintes hipóteses: IV – quando, pela natureza do objeto, não for possível definir previamente o quantitativo a ser demandado pela Administração”.</w:t>
      </w:r>
    </w:p>
    <w:p w:rsidR="00E54657" w:rsidRDefault="00E54657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5.3.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 JUSTIFICATIVA PARA AMPLA CONCORRÊNCIA DO OBJETO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: observa que a Lei Complementar 123/2006 amplia a participação das microempresas e empresas de pequeno porte nas licitações, mas, não eleva a carência econômica das mesmas acima ao Interesse Público. Dessa forma, é importante seguir os princípios pertinentes ao futuro certame como o da competitividade, da economicidade e da eficiência, buscando-se a “proposta mais vantajosa para a administração” conforme é vislumbrado no artigo 3º da Lei n. 8.666/93.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5.4. Contudo, o artigo 5º do Decreto n. 8.538/2015 não desampara as ME/EPP, concedendo o critério de empate ficto, oportunizando equilíbrio na disputa com as demais empresas: “Nas licitações do tipo menor preço, será assegurada, como critério de desempate, preferência de contratação para as microempresas e empresas de pequeno porte”.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5.5. Os artigos 47 e 48 da Lei Complementar nº. 123/2006 beneficia um tratamento diferenciado para as ME/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EPPs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nas contratações públicas. É possível verificar que o objetivo dessa concessão possui uma função social, já que busca a promoção do desenvolvimento econômico e social, ampliação da eficiência das políticas públicas e o incentivo à inovação tecnológica. Contudo, considerando o inciso III do artigo 49 da referida Lei, quando o tratamento diferenciado e simplificado para as ME/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EPPs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não for vantajoso para a administração pública ou representar prejuízo ao conjunto ou complexo do objeto a ser contratado, além das questões de garantia e suporte técnico, inviabiliza-se a exclusividade restritiva somente para esse grupo de licitantes e justifica-se a ampliação da competitividade para o objeto.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5.6. A maior vantagem apresenta-se quando a Administração assume o dever de adquirir o objeto menos oneroso e o particular se obrigar a realizar a melhor e o mais completo fornecimento do objeto. Configura-se, portanto, uma relação custo-benefício. A maior vantagem corresponde à situação de menor custo e maior benefício para a Administração.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5.7. O tipo de licitação é o MENOR PREÇO LOTE, que se constituirá no critério de seleção da proposta mais vantajosa, utilizado para compras e serviços de modo geral e para contratação e bens e serviços de TI. Esse agrupamento não só reduzirá consideravelmente os riscos de execução como também possibilitará a apresentação de propostas mais consistentes e econômicas por parte dos licitantes, reduzindo os custos de aquisição e armazenamento, bem como permitindo um melhor controle dos produtos. Ainda, essa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lastRenderedPageBreak/>
        <w:t xml:space="preserve">associação de bens permitirá uma melhor seleção de empresas, pois as licitantes deverão atender todas as capacidades e competências estabelecidas no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Edital e Anexos para a efetiva participação no certame, evitando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assim que empresas sem a devida qualificação interfiram num processo cujo objetivo é a seleção de uma empresa realmente capaz de atender as necessidades da instituição com eficiência, qualidade e economicidade.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5.8. 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>JUSTIFICATIVA PARA DIVISÃO POR LOTES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: justificando um controle maior e melhor sobre o serviço prestado; menos burocracia e perda de tempo do que com a contratação de várias empresas; diminuição de gastos com a contratação de uma empresa do que com várias empresas; melhores condições de fiscalização sobre o serviço contratado; maior e melhor controle sobre o cumprimento de prazo; melhor controle sobre os extintores entregues para renovação de recarga e o recebimento dos mesmos.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5.9. O objetivo do parcelamento é o de melhor aproveitar os recursos disponíveis no mercado e ampliar a competitividade, sendo imprescindível que a divisão do objeto seja técnica e economicamente viável e não represente perda de economia de escala (Súmula 247 do TCU). A Lei nº 8.666/93 trata do parcelamento do objeto, dispondo: “Art. 15. As compras, sempre que possível, deverão: (…) IV - ser subdivididas em tantas parcelas quantas necessárias para aproveitar as peculiaridades do mercado, visando economicidade (…)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”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5.10. O agrupamento visará tornar o preço mais atraente e compensatório em termos logísticos ao fornecedor, fomenta a disputa e amplia o número de interessados na licitação; e, finalmente, considerando que este procedimento atende aos princípios que norteiam as aquisições públicas de bens e serviços e esta prática visa adquirir o melhor pelo menor preço, dentro de uma possível e maior aproximação da padronização. Assim, fica plenamente justificado o agrupamento de itens específicos.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5.11. Foram consideradas para elaboração deste Termo de Referência as Leis 8.666/1993, 10.520/2002, Decreto nº 7.892/2013, e ainda: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5.11.1. Instrução Normativa SLTI/MP nº 04/2014, de 11 de setembro de 2014 – Dispõe sobre o processo de contratação de serviços de Tecnologia da Informação pela Administração Pública Federal direta, autárquica e fundacional;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bookmarkStart w:id="3" w:name="_heading=h.1fob9te" w:colFirst="0" w:colLast="0"/>
      <w:bookmarkEnd w:id="3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5.11.2. Instrução Normativa STI nº 01/2010 (e suas alterações) – Dispõe sobre os critérios de sustentabilidade ambiental na aquisição de bens, contratação de serviços ou obras pela Administração Pública Federal direta, autárquica e fundacional;</w:t>
      </w:r>
    </w:p>
    <w:p w:rsidR="00E54657" w:rsidRDefault="00E54657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DDDDDD"/>
        <w:tabs>
          <w:tab w:val="left" w:pos="348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shd w:val="clear" w:color="auto" w:fill="DDDDDD"/>
        </w:rPr>
        <w:t>6. VALOR ESTIMADO DA CONTRATAÇÃO (ÓRGÃO GERENCIADOR)</w:t>
      </w:r>
    </w:p>
    <w:p w:rsidR="00E54657" w:rsidRDefault="00FF5FE4" w:rsidP="00AB3CD7">
      <w:pP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6.1 O valor total estimado da contratação para o órgão gerenciador é de 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R$ </w:t>
      </w:r>
      <w:r w:rsidR="0055332F" w:rsidRPr="0055332F">
        <w:rPr>
          <w:rFonts w:ascii="Calibri" w:eastAsia="Calibri" w:hAnsi="Calibri" w:cs="Calibri"/>
          <w:b/>
          <w:color w:val="000000"/>
          <w:sz w:val="22"/>
          <w:szCs w:val="22"/>
        </w:rPr>
        <w:t>899</w:t>
      </w:r>
      <w:r w:rsidR="0055332F">
        <w:rPr>
          <w:rFonts w:ascii="Calibri" w:eastAsia="Calibri" w:hAnsi="Calibri" w:cs="Calibri"/>
          <w:b/>
          <w:color w:val="000000"/>
          <w:sz w:val="22"/>
          <w:szCs w:val="22"/>
        </w:rPr>
        <w:t>.</w:t>
      </w:r>
      <w:r w:rsidR="0055332F" w:rsidRPr="0055332F">
        <w:rPr>
          <w:rFonts w:ascii="Calibri" w:eastAsia="Calibri" w:hAnsi="Calibri" w:cs="Calibri"/>
          <w:b/>
          <w:color w:val="000000"/>
          <w:sz w:val="22"/>
          <w:szCs w:val="22"/>
        </w:rPr>
        <w:t>229,6</w:t>
      </w:r>
      <w:r w:rsidR="0055332F">
        <w:rPr>
          <w:rFonts w:ascii="Calibri" w:eastAsia="Calibri" w:hAnsi="Calibri" w:cs="Calibri"/>
          <w:b/>
          <w:color w:val="000000"/>
          <w:sz w:val="22"/>
          <w:szCs w:val="22"/>
        </w:rPr>
        <w:t>0</w:t>
      </w:r>
      <w:r w:rsidR="0055332F" w:rsidRPr="0055332F"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(oitocentos e </w:t>
      </w:r>
      <w:r w:rsidR="0055332F">
        <w:rPr>
          <w:rFonts w:ascii="Calibri" w:eastAsia="Calibri" w:hAnsi="Calibri" w:cs="Calibri"/>
          <w:color w:val="000000"/>
          <w:sz w:val="22"/>
          <w:szCs w:val="22"/>
          <w:highlight w:val="white"/>
        </w:rPr>
        <w:t>noventa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e </w:t>
      </w:r>
      <w:r w:rsidR="0055332F">
        <w:rPr>
          <w:rFonts w:ascii="Calibri" w:eastAsia="Calibri" w:hAnsi="Calibri" w:cs="Calibri"/>
          <w:color w:val="000000"/>
          <w:sz w:val="22"/>
          <w:szCs w:val="22"/>
          <w:highlight w:val="white"/>
        </w:rPr>
        <w:t>nove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mil, </w:t>
      </w:r>
      <w:r w:rsidR="0055332F">
        <w:rPr>
          <w:rFonts w:ascii="Calibri" w:eastAsia="Calibri" w:hAnsi="Calibri" w:cs="Calibri"/>
          <w:color w:val="000000"/>
          <w:sz w:val="22"/>
          <w:szCs w:val="22"/>
          <w:highlight w:val="white"/>
        </w:rPr>
        <w:t>duzentos e vinte e nove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reais e sessenta centavos), a ser pago conforme o estabelecido no edital.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6.2 No preço cotado e contratado já estão incluídos: impostos, contribuições, taxas, frete, transporte e, se </w:t>
      </w:r>
      <w:proofErr w:type="gramStart"/>
      <w:r w:rsidR="0055332F">
        <w:rPr>
          <w:rFonts w:ascii="Calibri" w:eastAsia="Calibri" w:hAnsi="Calibri" w:cs="Calibri"/>
          <w:color w:val="000000"/>
          <w:sz w:val="22"/>
          <w:szCs w:val="22"/>
          <w:highlight w:val="white"/>
        </w:rPr>
        <w:t>houver,</w:t>
      </w:r>
      <w:proofErr w:type="gramEnd"/>
      <w:r w:rsidR="0055332F"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seguro, bem como todos os demais encargos incidentes.</w:t>
      </w:r>
    </w:p>
    <w:p w:rsidR="00E54657" w:rsidRDefault="00E54657" w:rsidP="00AB3CD7">
      <w:pPr>
        <w:widowControl w:val="0"/>
        <w:spacing w:after="57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E54657" w:rsidRDefault="00FF5FE4" w:rsidP="00AB3CD7">
      <w:pPr>
        <w:widowControl w:val="0"/>
        <w:shd w:val="clear" w:color="auto" w:fill="E7E6E6"/>
        <w:spacing w:after="57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shd w:val="clear" w:color="auto" w:fill="DDDDDD"/>
        </w:rPr>
        <w:t>7. PROPOSTA E CRITÉRIO DE JULGAMENTO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7.1. As propostas deverão conter toda documentação necessária para subsidiar o julgamento técnico dos materiais ofertados, incluindo informações técnicas dos materiais que serão utilizados e outros documentos que a LICITANTE julgar necessários. No caso de entender tais documentos como insuficientes para a análise, poderá a UFPA, a seu critério, solicitar complementação a ser apresentada em até 48 horas.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7.1.1. Para inserção de suas propostas iniciais, os fornecedores deverão observar rigorosamente a especificação e unidade de fornecimento dos materiais constantes neste documento, indicando expressamente marca/fabricante e modelo do(s) produto (s).</w:t>
      </w:r>
    </w:p>
    <w:p w:rsidR="00E54657" w:rsidRDefault="00E54657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7.2. Poderão, ainda, os LICITANTES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apresentar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quaisquer considerações e informações importantes que julgarem necessárias e relevantes.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7.3. Deverá ainda o licitante, apresentar junto com a sua proposta comercial Catálogos, folhetos técnicos e/ou página na web para todos os itens ofertados.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7.3.1 A ausência de alguma especificação no referido catálogo e/ou folheto não ensejará a desclassificação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lastRenderedPageBreak/>
        <w:t>imediata da empresa. Nesse caso serão efetuadas diligências para sanear a pendência;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7.3.2 Na hipótese de os folhetos e/ou catálogos não apresentarem explicitamente as informações comprobatórias de algum dos itens de especificação, a licitante deverá indicar essa condição em sua proposta, responsabilizando-se pela informação fornecida e/ou apresentando outra fonte que possa esclarecer eventuais dúvidas;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7.3.3 As informações apresentadas em páginas da WEB impressas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, serão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consideradas apenas se puderem ser igualmente obtidas na internet, disponíveis em veiculação pública, preferivelmente no website do próprio fabricante ou distribuidor comprovadamente autorizado;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7.4. Os preços ofertados deverão ser expressos em Reais, com duas casas decimais e conter todos os tributos, encargos, insumos e custos de logística decorrentes da oferta do objeto.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7.5. 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Para os itens referentes 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>a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 PENTE DE MEMÓRIA e PEN DRIVE, o licitante, obrigatoriamente, deverá consignar expressamente em sua proposta o fabricante/marca e modelo, sob pena de desclassificação. Não serão aceitas memórias “genéricas”, bem como PEN DRIVES de origem desconhecida, podendo nesse caso, ser solicitadas amostras para testes e identificação da origem do produto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.</w:t>
      </w:r>
    </w:p>
    <w:p w:rsidR="00E54657" w:rsidRDefault="00E54657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E6E6E6"/>
        <w:tabs>
          <w:tab w:val="left" w:pos="348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shd w:val="clear" w:color="auto" w:fill="DDDDDD"/>
        </w:rPr>
        <w:t>8. OBRIGAÇÕES DA CONTRATADA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8.1. Fornecer o material objeto deste certame no prazo fixado neste edital, após aprovação pela Administração do Contratante, que a si reserva o direito de rejeitá-lo, caso não satisfaça aos padrões especificados;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8.2. Entregar o material dentro às especificações contidas neste Edital e seus Anexos,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no Diretoria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de Almoxarifado e Patrimônio – DAP, de 2ª a 6ª no horário de 08:00 às 12:00 e das 14:00 às 16:00 horas, no prazo máximo de 20 (vinte) dias conforme estabelecido no edital, a partir da data e hora da emissão da Autorização de Fornecimento dos materiais, sem que isso implique em acréscimo no preço da proposta, devendo o mesmo ser conferido pelo setor competente, que atestará a regularidade da entrega;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8.3. O transporte do material deverá ser feito conforme as exigências para os produtos, devidamente protegidos quanto a pó e variações de temperatura.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8.4. Os dados constantes na identificação da embalagem de transporte no que se refere a lote, data de validade e fabricação, nome do produto, quantitativo, etc., deverão corresponder ao conteúdo.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8.5. Constatada qualquer irregularidade, substituir o material no prazo máximo de 05 (cinco) dias;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8.6. Manter, durante o período de fornecimento, todas as condições de habilitação e qualificação exigidas neste edital;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8.7. Sujeitar-se à ampla e irrestrita fiscalização por parte da Administração, prestando todos os esclarecimentos solicitados;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8.8. Substituir o produto que, após a entrega, aceite ou utilização, durante o prazo de validade, venha a apresentar defeitos de fabricação ou quaisquer outros que, reincidentes em número igual ou superior a duas vezes, venham a dificultar ou impossibilitar a sua utilização, desde que, para a sua ocorrência, não tenha contribuído – por ação ou omissão – a Universidade Federal do Pará;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8.9. Não transferir a terceiros, total ou parcialmente, o objeto desta licitação, nem subcontratar qualquer dos serviços a que está obrigada sem prévio assentimento por escrito da Universidade Federal do Pará.</w:t>
      </w:r>
    </w:p>
    <w:p w:rsidR="00E54657" w:rsidRDefault="00E54657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E6E6E6"/>
        <w:tabs>
          <w:tab w:val="left" w:pos="348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9. OBRIGAÇÕES DA CONTRATANTE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9.1. A UFPA compromete-se a: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9.1.1. Proporcionar todas as facilidades indispensáveis ao bom cumprimento das obrigações contratuais, inclusive permitir o livre acesso dos técnicos da empresa fornecedora às dependências da UFPA relacionadas à execução do contrato, respeitadas as normas que disciplinam a segurança do patrimônio, das pessoas e das informações;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9.1.2. Efetuar os pagamentos devidos, nas condições estabelecidas;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9.1.3. Exigir o cumprimento de todos os compromissos assumidos pela empresa fornecedora, de acordo com os termos de sua proposta;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lastRenderedPageBreak/>
        <w:t>9.1.4. Emitir Autorização de Fornecimento, ou qualquer outro documento equivalente, com todas as informações necessárias, por intermédio do representante da administração designado e comunicar à empresa por meio de telefone, fax ou e-mail da emissão da mesma;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9.1.5. Prestar as informações e os esclarecimentos que venham a ser solicitados pelos empregados da licitante vencedora;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9.1.6. Assegurar-se de que os preços contratados estão compatíveis com aqueles praticados no mercado pelas demais prestadoras dos serviços objeto desta licitação, de forma a garantir que continuem a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ser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os mais vantajosos;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9.1.7. Controlar e documentar as ocorrências havidas; e,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9.1.8. Notificar a empresa fornecedora, sobre imperfeições, falhas ou irregularidades constatadas no equipamento, para que sejam adotadas as medidas cabíveis.</w:t>
      </w:r>
    </w:p>
    <w:p w:rsidR="00E54657" w:rsidRDefault="00E54657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E6E6E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10. SANÇÕES ADMINISTRATIVAS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10.1. O licitante que causar o retardamento do andamento do certame, não mantiver a proposta, desistir do lance ofertado, fraudar de qualquer forma o procedimento desta Licitação; ou o vencedor que, convocado dentro do prazo de validade da proposta, deixar de entregar documentação exigida no Edital, apresentar documentação falsa, não assinar o contrato ou instrumento equivalente, falhar ou frustrar a execução do contrato, comportar-se de modo inidôneo, fizer declaração falsa ou cometer fraude fiscal, ficará sujeito às seguintes penalidades, segundo a extensão da falta cometida, com observância do direito à prévia defesa:</w:t>
      </w:r>
    </w:p>
    <w:tbl>
      <w:tblPr>
        <w:tblStyle w:val="a6"/>
        <w:tblW w:w="9645" w:type="dxa"/>
        <w:tblInd w:w="16" w:type="dxa"/>
        <w:tblLayout w:type="fixed"/>
        <w:tblLook w:val="0000" w:firstRow="0" w:lastRow="0" w:firstColumn="0" w:lastColumn="0" w:noHBand="0" w:noVBand="0"/>
      </w:tblPr>
      <w:tblGrid>
        <w:gridCol w:w="4710"/>
        <w:gridCol w:w="4935"/>
      </w:tblGrid>
      <w:tr w:rsidR="00E54657">
        <w:trPr>
          <w:trHeight w:val="94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EVENTOS: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E54657" w:rsidRDefault="00FF5FE4" w:rsidP="00AB3C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SANÇÕES QUE SERÃO APLICADAS:</w:t>
            </w:r>
          </w:p>
        </w:tc>
      </w:tr>
      <w:tr w:rsidR="00E54657">
        <w:trPr>
          <w:trHeight w:val="323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4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Forjar a classificação como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microempresa ou empresa de pequeno porte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para obtenção de tratamento favorecido em licitações incentivadas ou não.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Impedimento de licitar pelo período de, no mínimo,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(um) ano. Acórdão TCU/PL nº 3074/2011.</w:t>
            </w:r>
          </w:p>
        </w:tc>
      </w:tr>
      <w:tr w:rsidR="00E54657">
        <w:trPr>
          <w:trHeight w:val="323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Descumprir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prazos estabelecidos pelo pregoeiro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durante a sessão de licitação para qualquer manifestação na sessão pública, gerando tumulto e atrasos no certame.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Impedimento de licitar pelo período de, no mínimo,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(quatro) meses.</w:t>
            </w:r>
          </w:p>
        </w:tc>
      </w:tr>
      <w:tr w:rsidR="00E54657">
        <w:trPr>
          <w:trHeight w:val="455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Desistir do lance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sem justificativa, durante a sessão pública ou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não mantiver a proposta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na fase de aceitação.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Impedimento de licitar pelo período de, no mínimo,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(seis) meses.</w:t>
            </w:r>
          </w:p>
        </w:tc>
      </w:tr>
      <w:tr w:rsidR="00E54657">
        <w:trPr>
          <w:trHeight w:val="323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Não apresentar ou deixar de apresentar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documentação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solicitada no edital na fase de aceitação da proposta, habilitação ou na contratação.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Impedimento de licitar pelo período de, no mínimo,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(seis) meses.</w:t>
            </w:r>
          </w:p>
        </w:tc>
      </w:tr>
      <w:tr w:rsidR="00E54657">
        <w:trPr>
          <w:trHeight w:val="323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Apresentar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proposta comercial em desacordo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com o Edital, ocasionando a frustação do certame em qualquer sentido.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Impedimento de licitar pelo período de, no mínimo,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(um) ano.</w:t>
            </w:r>
          </w:p>
        </w:tc>
      </w:tr>
      <w:tr w:rsidR="00E54657">
        <w:trPr>
          <w:trHeight w:val="323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0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Apresentar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documentação falsa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durante a licitação ou contratação.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Impedimento de licitar pelo período de no mínimo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(cinco) anos.</w:t>
            </w:r>
          </w:p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right="-108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Comunicar ao Ministério Público Federal para apurações de sanções de ordem penal.</w:t>
            </w:r>
          </w:p>
        </w:tc>
      </w:tr>
      <w:tr w:rsidR="00E54657">
        <w:trPr>
          <w:trHeight w:val="323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0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Não manter as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condições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habilitatórias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durante a execução do contrato ou da vigência da ata de registro de preços.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Impedimento de licitar pelo período de, no mínimo,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(seis) meses.</w:t>
            </w:r>
          </w:p>
        </w:tc>
      </w:tr>
      <w:tr w:rsidR="00E54657">
        <w:trPr>
          <w:trHeight w:val="323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59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Não retirar a nota de empenho/não assinatura da Ata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Impedimento de licitar pelo período de, no mínimo,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(um) ano.</w:t>
            </w:r>
          </w:p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Multa de, no mínimo, 10% (dez por cento) do valor do contrato/nota de empenho.</w:t>
            </w:r>
          </w:p>
        </w:tc>
      </w:tr>
      <w:tr w:rsidR="00E54657">
        <w:trPr>
          <w:trHeight w:val="335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Entregar o objeto fora do prazo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estabelecido no edital e termo de referência.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Advertência</w:t>
            </w:r>
          </w:p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Multa de, no mínimo, 0,5 % (meio por cento) por dia de atraso, aplicada sobre o valor do material não fornecido, limitada a 20 (vinte) dias. Após o vigésimo dia poderá ser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considerada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inexecução total ou parcial do objeto.</w:t>
            </w:r>
          </w:p>
        </w:tc>
      </w:tr>
      <w:tr w:rsidR="00E54657">
        <w:trPr>
          <w:trHeight w:val="375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Não efetuar a troca do objeto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quando notificado, durante a contratação.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Advertência;</w:t>
            </w:r>
          </w:p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Impedimento de licitar pelo período de, no mínimo,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(um) ano.</w:t>
            </w:r>
          </w:p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Multa de, no mínimo, 10% (dez por cento) do valor do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contrato/nota de empenho.</w:t>
            </w:r>
          </w:p>
        </w:tc>
      </w:tr>
      <w:tr w:rsidR="00E54657">
        <w:trPr>
          <w:trHeight w:val="579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Substituir o objeto fora do prazo estabelecido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Advertência</w:t>
            </w:r>
          </w:p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Multa de, no mínimo, 0,5% (meio por cento) por dia de atraso, aplicada sobre o valor do material não substituído, limitada a 20 (vinte) dias. Após o vigésimo dia poderá ser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considerada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inexecução total ou parcial do objeto.</w:t>
            </w:r>
          </w:p>
        </w:tc>
      </w:tr>
      <w:tr w:rsidR="00E54657">
        <w:trPr>
          <w:trHeight w:val="579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Deixar de realizar ou atrasar a instalação ou montagem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do (s) equipamento (s) quando previsto no edital e termo de referência.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Advertência</w:t>
            </w:r>
          </w:p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Impedimento de licitar pelo período de, no mínimo,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6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(seis) meses.</w:t>
            </w:r>
          </w:p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Multa de, no mínimo, 0,5% (meio por cento) por dia de atraso, aplicada sobre o valor do equipamento.</w:t>
            </w:r>
          </w:p>
        </w:tc>
      </w:tr>
      <w:tr w:rsidR="00E54657">
        <w:trPr>
          <w:trHeight w:val="633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0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Deixar de entregar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documentação original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exigida neste Edital durante a licitação ou contratação.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Multa de, no mínimo, 10% (dez por cento) do valor do contrato/nota de empenho/valor total estimado para o item ou lote.</w:t>
            </w:r>
          </w:p>
        </w:tc>
      </w:tr>
      <w:tr w:rsidR="00E54657">
        <w:trPr>
          <w:trHeight w:val="355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4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Comportar-se de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modo inidôneo na licitação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 contratação, causando prejuízo a Administração ou demonstrando ofensa ao ordenamento jurídico, ao regramento do edital, aos licitantes, à Administração e à sociedade.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Impedimento de licitar pelo período de, no mínimo,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(dois) anos.</w:t>
            </w:r>
          </w:p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Multa de, no mínimo, 10% (dez por cento) do valor do contrato/nota de empenho.</w:t>
            </w:r>
          </w:p>
        </w:tc>
      </w:tr>
      <w:tr w:rsidR="00E54657">
        <w:trPr>
          <w:trHeight w:val="628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4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Cometer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fraude fiscal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durante a licitação ou contratação.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Impedimento de licitar por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(cinco) anos.</w:t>
            </w:r>
          </w:p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Multa de, no mínimo, 10% (dez por cento) do valor do contrato/nota de empenho.</w:t>
            </w:r>
          </w:p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Comunicar ao Ministério Público Federal.</w:t>
            </w:r>
          </w:p>
        </w:tc>
      </w:tr>
      <w:tr w:rsidR="00E54657">
        <w:trPr>
          <w:trHeight w:val="628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4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Não recompor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níveis de serviços acordados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quando esgotados os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sancionamentos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próprios, regulares e inerentes aos monitoramentos técnico-operacional e administrativo do gerenciamento contratual 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Impedimento de licitar com a UFPA pelo período de, no mínimo,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(um) ano.</w:t>
            </w:r>
          </w:p>
        </w:tc>
      </w:tr>
      <w:tr w:rsidR="00E54657">
        <w:trPr>
          <w:trHeight w:val="628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4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Deixar de executar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qualquer obrigação pactuada ou prevista em lei e no edital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da presente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licitação, em que não se comine outra penalidade.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3"/>
                <w:tab w:val="left" w:pos="3526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Impedimento de licitar com a UFPA por, no mínimo,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(dois) anos.</w:t>
            </w:r>
          </w:p>
        </w:tc>
      </w:tr>
      <w:tr w:rsidR="00E54657">
        <w:trPr>
          <w:trHeight w:val="628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4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Não celebrar contrato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em convocação dentro do prazo de validade de proposta.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30"/>
              </w:tabs>
              <w:spacing w:line="240" w:lineRule="auto"/>
              <w:ind w:left="0" w:right="23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Impedimento de Licitar com a União por, no mínimo,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(um) ano.</w:t>
            </w:r>
          </w:p>
        </w:tc>
      </w:tr>
      <w:tr w:rsidR="00E54657">
        <w:trPr>
          <w:trHeight w:val="469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99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Inexecução total, previsto na Lei 8666/93 e Lei 10.520/2002.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Impedimento de licitar com a UFPA por, no mínimo,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(dois) anos.</w:t>
            </w:r>
          </w:p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Multa de, no mínimo, 20% (vinte por cento) sobre o valor do contrato/nota de empenho ou valor da parcela.</w:t>
            </w:r>
          </w:p>
        </w:tc>
      </w:tr>
      <w:tr w:rsidR="00E54657">
        <w:trPr>
          <w:trHeight w:val="469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0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Inexecução parcial do objeto previsto na Lei 8666/93 e Lei 10.520/2002.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Impedimento de licitar com a UFPA por, no mínimo,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(um) ano.</w:t>
            </w:r>
          </w:p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Multa de, no mínimo, 10% (dez por cento) sobre o valor correspondente a parte não executada.</w:t>
            </w:r>
          </w:p>
        </w:tc>
      </w:tr>
      <w:tr w:rsidR="00E54657">
        <w:trPr>
          <w:trHeight w:val="469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4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Denegrir ou caluniar equipes técnica e de pregoeiro, bem como pessoas que integram os processos da UFPA, em razão de denúncias sob a acusação de direcionamento de certame, sem a apresentação de provas pertinentes ou a apresentação de provas infundadas, em processo administrativo instaurado.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Impedimento de licitar com a Administração Pública Federal pelo período de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5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(cinco) ano.</w:t>
            </w:r>
          </w:p>
        </w:tc>
      </w:tr>
      <w:tr w:rsidR="00E54657">
        <w:trPr>
          <w:trHeight w:val="469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Descumprimento das especificações técnicas de sustentabilidade aceitas e declaradas.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Impedimento de licitar com a UFPA por, no mínimo,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(dois) anos.</w:t>
            </w:r>
          </w:p>
        </w:tc>
      </w:tr>
      <w:tr w:rsidR="00E54657">
        <w:trPr>
          <w:trHeight w:val="469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Cometer fraude fiscal no recolhimento de quaisquer tributos.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Declaração de inidoneidade </w:t>
            </w:r>
          </w:p>
        </w:tc>
      </w:tr>
      <w:tr w:rsidR="00E54657">
        <w:trPr>
          <w:trHeight w:val="469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Demonstrar não possuir idoneidade para contratar com a Administração em virtude de atos ilícitos praticados.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Declaração de inidoneidade</w:t>
            </w:r>
          </w:p>
        </w:tc>
      </w:tr>
      <w:tr w:rsidR="00E54657">
        <w:trPr>
          <w:trHeight w:val="469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Frustrar ou </w:t>
            </w:r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fraudar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mediante ajuste, combinação ou qualquer outro expediente, o caráter competitivo de procedimento licitatório público.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Multa de até 20% do faturamento bruto do último exercício anterior ao da instauração do processo administrativo.</w:t>
            </w:r>
          </w:p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Publicação extraordinária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da decisão condenatória.</w:t>
            </w:r>
          </w:p>
        </w:tc>
      </w:tr>
      <w:tr w:rsidR="00E54657">
        <w:trPr>
          <w:trHeight w:val="469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 xml:space="preserve">Impedir, perturbar ou </w:t>
            </w:r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 xml:space="preserve">fraudar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realização de qualquer ato de procedimento licitatório público.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Multa de até 20% do faturamento bruto do último exercício anterior ao da instauração do processo administrativo.</w:t>
            </w:r>
          </w:p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Publicação extraordinária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da decisão condenatória.</w:t>
            </w:r>
          </w:p>
        </w:tc>
      </w:tr>
      <w:tr w:rsidR="00E54657">
        <w:trPr>
          <w:trHeight w:val="469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Criar, de modo </w:t>
            </w:r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 xml:space="preserve">fraudulento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ou irregular, pessoa jurídica para participar de licitação pública ou celebrar contrato administrativo;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Multa de até 20% do faturamento bruto do último exercício anterior ao da instauração do processo administrativo.</w:t>
            </w:r>
          </w:p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Publicação extraordinária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da decisão condenatória.</w:t>
            </w:r>
          </w:p>
        </w:tc>
      </w:tr>
      <w:tr w:rsidR="00E54657">
        <w:trPr>
          <w:trHeight w:val="469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4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Manipular ou </w:t>
            </w:r>
            <w:r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 xml:space="preserve">fraudar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equilíbrio econômico-financeiro dos contratos celebrados com a administração pública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Multa de até 20% do faturamento bruto do último exercício anterior ao da instauração do processo administrativo.</w:t>
            </w:r>
          </w:p>
          <w:p w:rsidR="00E54657" w:rsidRDefault="00FF5FE4" w:rsidP="00AB3CD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Publicação extraordinária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da decisão condenatória.</w:t>
            </w:r>
          </w:p>
        </w:tc>
      </w:tr>
    </w:tbl>
    <w:p w:rsidR="00E54657" w:rsidRDefault="00E54657" w:rsidP="00AB3CD7">
      <w:pPr>
        <w:widowControl w:val="0"/>
        <w:spacing w:after="57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10.2. Na hipótese da multa atingir o percentual de 10% (dez por cento) sobre o valor do contrato/empenho, a UFPA poderá proceder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a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rescisão unilateral do contrato ou instrumento equivalente, hipótese em que a empresa prestadora dos serviços também se sujeitará às sanções administrativas previstas neste Edital.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10.3. As multas porventura aplicadas serão descontadas dos pagamentos devidos pela UFPA ou cobradas diretamente da empresa penalizada, amigável ou judicialmente, e poderão ser aplicadas cumulativamente às demais sanções previstas nesta cláusula.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10.4. Na ocorrência de falha maior poderá também ser aplicada a penalidade de Declaração de Idoneidade para licitar ou contratar com a Administração Pública.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10.5. A defesa a que alude o caput deste item deverá ser exercida pelo interessado no respectivo processo no prazo de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5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(cinco) dias úteis a contar da sua notificação, podendo ocorrer a juntada de documentos e serem arroladas até 03 (três) testemunhas.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10.6. Serão considerados injustificados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os atrasos não comunicados tempestivamente e indevidamente fundamentados, e a aceitação da justificativa ficará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a critério da UFPA que deverá examinar a legalidade da conduta da empresa.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10.7. Comprovado impedimento ou reconhecida força maior, devidamente justificado e aceito pela Universidade Federal do Pará, conforme procedimento esboçado no subitem anterior, a licitante vencedora ficará isenta das penalidades mencionadas no subitem 10.1.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10.8. As penalidades serão obrigatoriamente registradas no Sistema de Cadastramento Unificado de Fornecedores – SICAF, e no caso de impedimento de licitar e de contratar com a Administração Pública, a licitante será descredenciada por igual período, sem prejuízo das multas previstas neste Edital, seus anexos, e nas demais cominações legais.</w:t>
      </w:r>
    </w:p>
    <w:p w:rsidR="00E54657" w:rsidRDefault="00E54657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E6E6E6"/>
        <w:tabs>
          <w:tab w:val="left" w:pos="348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11. PRAZO E LOCAL DE ENTREGA</w:t>
      </w:r>
    </w:p>
    <w:p w:rsidR="00E54657" w:rsidRDefault="00FF5FE4" w:rsidP="00AB3C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11.1. O prazo de entrega do objeto desta licitação, não poderá ser superior a 20 (vinte) dias, contados do recebimento da Autorização de Fornecimento e Empenho e deverão ser entregues </w:t>
      </w:r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na Diretoria de Almoxarifado e Patrimônio – DAP, de 2ª a 6ª no horário de 8 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>às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  <w:highlight w:val="white"/>
        </w:rPr>
        <w:t xml:space="preserve"> 12 e das 14 às 16h, localizada </w:t>
      </w:r>
      <w:r>
        <w:rPr>
          <w:rFonts w:ascii="Calibri" w:eastAsia="Calibri" w:hAnsi="Calibri" w:cs="Calibri"/>
          <w:b/>
          <w:sz w:val="22"/>
          <w:szCs w:val="22"/>
        </w:rPr>
        <w:t>na Universidade Federal do Pará – Campus Guamá – Av. Augusto Corrêa, Nº 1 – Prédio do DAP –Bairro Guamá – CEP 66075-900 - Belém/Pará – Fone: 091-3201-7137.</w:t>
      </w:r>
    </w:p>
    <w:p w:rsidR="00E54657" w:rsidRDefault="00E54657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E6E6E6"/>
        <w:tabs>
          <w:tab w:val="left" w:pos="348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12. PRAZO DE GARANTIA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12.1. O prazo de garantia dos materiais será de no mínimo 12 (doze) meses, contatos da data de seu recebimento definitivo, ficando a cargo da contratada todas as despesas de envio dos materiais. </w:t>
      </w:r>
    </w:p>
    <w:p w:rsidR="00E54657" w:rsidRDefault="00E54657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yellow"/>
        </w:rPr>
      </w:pP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E6E6E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13. DA FORMA DE PAGAMENTO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13.1. O pagamento será creditado em favor da empresa vencedora por meio de ordem bancária, em qualquer banco indicado na proposta, devendo para isto, ficar explicitado o nome, número da agência e o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lastRenderedPageBreak/>
        <w:t>número da conta corrente na qual deverá ser efetivado o crédito, o qual ocorrerá em até 30 (trinta) dias após a execução do objeto, com a apresentação da Nota Fiscal/Fatura, atestada pelo setor competente.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13.2. A liberação do pagamento ficará condicionada a consulta prévia ao SICAF (via ON LINE), com resultado favorável, ou a apresentação de documentos comprobatórios.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13.3. Na hipótese de atraso de pagamento da Nota Fiscal/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Fatura devidamente atestada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, o valor devido pela UFPA, será atualizado financeiramente, obedecendo à legislação vigente e as disposições constantes na Ata de Registro de Preços.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14.4. No caso de incorreção nos documentos apresentados, inclusive na Nota Fiscal/Fatura, serão os mesmos restituídos à adjudicatária para as correções necessárias, não respondendo a UFPA, por quaisquer encargos resultantes de atrasos na liquidação dos pagamentos correspondentes.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14.5. Para efeito de pagamento, a UFPA procederá às retenções tributárias e previdenciárias previstas na legislação em vigor, aplicáveis a este instrumento.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14.6. O pagamento será efetuado após a confirmação de que os materiais foram entregues em conformidade com o Edital e seus anexos, bem como com a nota fiscal/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fatura emitida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pela Contratada, devidamente atestada pelo fiscal da Ata designado pela Contratante.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14.7. 14.8. A Universidade Federal do Pará se reserva no direito de recusar a efetivação do pagamento se, no ato da atestação dos materiais, quando houver desconformidade com as especificações técnicas exigidas neste Edital Convocatório e na Ata de Registro de Preços.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14.8. Na impossibilidade de entrega dos materiais objeto da contratação, dentro dos prazos estabelecidos, onde se comprovar a ausência de culpa da Contratada, o pagamento poderá ser objeto de negociação. Contudo, a Contratada não ficará eximida de suas responsabilidades futuras.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14.9. A Universidade Federal do Pará poderá deduzir do montante a pagar os valores correspondentes a multas ou indenizações devidas pela licitante vencedora, nos termos deste Edital.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14.10. Na hipótese de atraso na data prevista para o pagamento, o valor devido será atualizado monetariamente, acrescido de juros moratórios de 0,1% (zero vírgula um por cento) ao mês, apurados desde a data prevista para tanto, até a data de sua efetivação, calculados “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pro rata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die”, sobre o valor da Nota Fiscal/Fatura.</w:t>
      </w:r>
    </w:p>
    <w:p w:rsidR="00E54657" w:rsidRDefault="00E54657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shd w:val="clear" w:color="auto" w:fill="CFE7F5"/>
        </w:rPr>
      </w:pP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E6E6E6"/>
        <w:tabs>
          <w:tab w:val="left" w:pos="348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15. RESPONSÁVEL PELA FISCALIZAÇÃO</w:t>
      </w:r>
    </w:p>
    <w:p w:rsidR="00E54657" w:rsidRDefault="00FF5FE4" w:rsidP="00AB3CD7">
      <w:pPr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15.1. Diretoria de Compras e Serviços – DCS/PROAD, juntamente com o CTIC e DAP.</w:t>
      </w:r>
    </w:p>
    <w:p w:rsidR="00E54657" w:rsidRDefault="00E54657" w:rsidP="00AB3CD7">
      <w:pPr>
        <w:keepLines/>
        <w:widowControl w:val="0"/>
        <w:spacing w:after="57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E6E6E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16. PRAZO DE VIGÊNCIA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16.1. O prazo de vigência da Ata de Registro de preços é de 06 (seis) meses, a contar da data de sua assinatura, com eficácia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após a publicação do seu extrato no DOU</w:t>
      </w:r>
      <w:r>
        <w:rPr>
          <w:rFonts w:ascii="Calibri" w:eastAsia="Calibri" w:hAnsi="Calibri" w:cs="Calibri"/>
          <w:color w:val="000000"/>
          <w:sz w:val="22"/>
          <w:szCs w:val="22"/>
        </w:rPr>
        <w:t>, de acordo com a Lei nº 8.666/1993.</w:t>
      </w:r>
    </w:p>
    <w:p w:rsidR="00E54657" w:rsidRDefault="00E54657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E6E6E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17. DA CONVOCAÇÃO DE AMOSTRAS 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17.1.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A licitante detentora da melhor proposta PODERÁ ser convocada para, no prazo máximo de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5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(cinco) dias úteis, entregar amostra para teste, conforme as regras estabelecidas abaixo;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17.2.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O local de entrega da amostra será no prédio PROAD (Anexo à Reitoria), sala da Diretoria de Compras e Serviços UFPA, situada no 1º andar, no endereço: Rua Augusto Corrêa, nº 01, Bairro: Guamá, Belém-Pará, CEP: 66075-900, no horário das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09:00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às 12:00 e das 14:00 às 17:00 horas, para ser(em) analisada(s) pelo setor técnico, que emitirá parecer onde constará aprovada(s) sem ressalvas, aprovada(s) com ressalvas ou reprovada(s).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17.2.1.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Para fins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da presente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contratação, entende-se por amostra o exemplar completo indicado para apresentação, exigido da licitante que se encontre classificada provisoriamente em primeiro lugar durante a fase de julgamento da proposta, construído com materiais novos atendendo às especificações e aos requisitos técnicos constantes deste Edital, e que permitirá, a partir de adequado processo de análise, a confirmação do enquadramento do bem às exigências técnicas previamente definidas.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17.3.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Excepcionalmente, esse prazo poderá ser prorrogado por um único período de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2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(dois) dias úteis, caso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lastRenderedPageBreak/>
        <w:t>a licitante comprove, incontestavelmente, que a amostra já foi remetida ao endereço supramencionado, ou seja, encontra-se em transporte.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17.3.1.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Poderão ser considerados os seguintes documentos para fins de comprovação: nota fiscal de contratação da transportadora ou guia de remessa de produto, desde que discriminem os itens que estão sendo transportados, o endereço e a data de entrega.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17.4.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No decorrer do procedimento de análise, a ser realizado por técnico designado pela UFPA, a amostra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poderá ser</w:t>
      </w:r>
      <w:proofErr w:type="gramEnd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 aberta, manuseada, desmontada, instalada, receber cortes, secções ou vincos, movimento nas peças e ser submetida aos testes necessários, sendo devolvida à licitante no estado em que se encontrar ao final da avaliação, com vistas a aprovação das amostras.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17.5.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Os critérios adotados para análise e posterior aprovação das amostras são: 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17.5.1.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Análise de conformidade com as especificações em anexo;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17.5.2.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Análise de qualidade e procedência dos materiais e componentes internos, utilizados para a fabricação dos produtos, a exemplo da matéria-prima e dos componentes utilizados;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17.5.3.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 xml:space="preserve">Análise de acabamento. As amostras deverão apresentar aparência homogênea, com superfícies lisas, sem riscos, bolhas ou defeitos grosseiros, além do esmero na fabricação, qualidade na junção das peças e na pintura. Confirmar o tipo e qualidade dos materiais aplicados na confecção e montagem do objeto; Tonalidade; Formato/design; Tamanho/medidas mínimas; Qualidade/estrutura/plásticos; Normas da ABNT e INMETRO; </w:t>
      </w:r>
      <w:proofErr w:type="gramStart"/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e</w:t>
      </w:r>
      <w:proofErr w:type="gramEnd"/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17.5.4.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Aferir as dimensões, tais como espessura, largura e comprimento, bem como outros atributos concernentes a componentes internos do objeto, considerados aqueles que estejam sob alguma camada de estofado, tecido, chapa e outros revestimentos (quando for o caso).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17.6.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Durante o período de exame da amostra, a UFPA poderá solicitar informações adicionais, referentes aos componentes e ao objeto, através de diligencias técnicas.</w:t>
      </w:r>
    </w:p>
    <w:p w:rsidR="00E54657" w:rsidRDefault="00FF5FE4" w:rsidP="00AB3CD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17.7. </w:t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Os exemplares colocados à disposição da Administração serão tratados como protótipos, podendo ser manuseados, desmontados ou instalados pela equipe técnica responsável pela análise, bem como conectados a equipamentos e submetidos aos testes necessários.</w:t>
      </w:r>
    </w:p>
    <w:p w:rsidR="00E54657" w:rsidRDefault="00E54657" w:rsidP="00E5465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</w:p>
    <w:sectPr w:rsidR="00E54657">
      <w:footerReference w:type="default" r:id="rId11"/>
      <w:pgSz w:w="11906" w:h="16838"/>
      <w:pgMar w:top="1134" w:right="1134" w:bottom="1191" w:left="1134" w:header="720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32F" w:rsidRDefault="0055332F" w:rsidP="00AB3CD7">
      <w:pPr>
        <w:spacing w:line="240" w:lineRule="auto"/>
        <w:ind w:left="0" w:hanging="2"/>
      </w:pPr>
      <w:r>
        <w:separator/>
      </w:r>
    </w:p>
  </w:endnote>
  <w:endnote w:type="continuationSeparator" w:id="0">
    <w:p w:rsidR="0055332F" w:rsidRDefault="0055332F" w:rsidP="00AB3CD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sa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32F" w:rsidRDefault="0055332F" w:rsidP="00AB3CD7">
    <w:pPr>
      <w:pBdr>
        <w:top w:val="nil"/>
        <w:left w:val="nil"/>
        <w:bottom w:val="nil"/>
        <w:right w:val="nil"/>
        <w:between w:val="nil"/>
      </w:pBdr>
      <w:spacing w:line="240" w:lineRule="auto"/>
      <w:jc w:val="right"/>
      <w:rPr>
        <w:rFonts w:ascii="Arial" w:eastAsia="Arial" w:hAnsi="Arial" w:cs="Arial"/>
        <w:sz w:val="20"/>
        <w:szCs w:val="20"/>
      </w:rPr>
    </w:pPr>
    <w:r>
      <w:rPr>
        <w:rFonts w:ascii="Rasa" w:eastAsia="Rasa" w:hAnsi="Rasa" w:cs="Rasa"/>
        <w:i/>
        <w:sz w:val="14"/>
        <w:szCs w:val="14"/>
      </w:rPr>
      <w:t xml:space="preserve">Universidade Federal do Pará – Processo de Aquisição de Periféricos de Informática e afins-2022                 </w:t>
    </w:r>
    <w:r>
      <w:rPr>
        <w:rFonts w:ascii="Rasa" w:eastAsia="Rasa" w:hAnsi="Rasa" w:cs="Rasa"/>
        <w:i/>
        <w:sz w:val="14"/>
        <w:szCs w:val="14"/>
      </w:rPr>
      <w:tab/>
      <w:t xml:space="preserve">                      </w:t>
    </w:r>
    <w:r>
      <w:rPr>
        <w:rFonts w:ascii="Rasa" w:eastAsia="Rasa" w:hAnsi="Rasa" w:cs="Rasa"/>
        <w:sz w:val="14"/>
        <w:szCs w:val="14"/>
      </w:rPr>
      <w:t xml:space="preserve"> Página </w:t>
    </w:r>
    <w:r>
      <w:rPr>
        <w:rFonts w:ascii="Arial" w:eastAsia="Arial" w:hAnsi="Arial" w:cs="Arial"/>
        <w:sz w:val="14"/>
        <w:szCs w:val="14"/>
      </w:rPr>
      <w:fldChar w:fldCharType="begin"/>
    </w:r>
    <w:r>
      <w:rPr>
        <w:rFonts w:ascii="Arial" w:eastAsia="Arial" w:hAnsi="Arial" w:cs="Arial"/>
        <w:sz w:val="14"/>
        <w:szCs w:val="14"/>
      </w:rPr>
      <w:instrText>PAGE</w:instrText>
    </w:r>
    <w:r>
      <w:rPr>
        <w:rFonts w:ascii="Arial" w:eastAsia="Arial" w:hAnsi="Arial" w:cs="Arial"/>
        <w:sz w:val="14"/>
        <w:szCs w:val="14"/>
      </w:rPr>
      <w:fldChar w:fldCharType="separate"/>
    </w:r>
    <w:r w:rsidR="006C44C1">
      <w:rPr>
        <w:rFonts w:ascii="Arial" w:eastAsia="Arial" w:hAnsi="Arial" w:cs="Arial"/>
        <w:noProof/>
        <w:sz w:val="14"/>
        <w:szCs w:val="14"/>
      </w:rPr>
      <w:t>1</w:t>
    </w:r>
    <w:r>
      <w:rPr>
        <w:rFonts w:ascii="Arial" w:eastAsia="Arial" w:hAnsi="Arial" w:cs="Arial"/>
        <w:sz w:val="14"/>
        <w:szCs w:val="14"/>
      </w:rPr>
      <w:fldChar w:fldCharType="end"/>
    </w:r>
    <w:r>
      <w:rPr>
        <w:rFonts w:ascii="Rasa" w:eastAsia="Rasa" w:hAnsi="Rasa" w:cs="Rasa"/>
        <w:sz w:val="14"/>
        <w:szCs w:val="14"/>
      </w:rPr>
      <w:t xml:space="preserve"> de </w:t>
    </w:r>
    <w:r>
      <w:rPr>
        <w:rFonts w:ascii="Arial" w:eastAsia="Arial" w:hAnsi="Arial" w:cs="Arial"/>
        <w:sz w:val="14"/>
        <w:szCs w:val="14"/>
      </w:rPr>
      <w:fldChar w:fldCharType="begin"/>
    </w:r>
    <w:r>
      <w:rPr>
        <w:rFonts w:ascii="Arial" w:eastAsia="Arial" w:hAnsi="Arial" w:cs="Arial"/>
        <w:sz w:val="14"/>
        <w:szCs w:val="14"/>
      </w:rPr>
      <w:instrText>NUMPAGES</w:instrText>
    </w:r>
    <w:r>
      <w:rPr>
        <w:rFonts w:ascii="Arial" w:eastAsia="Arial" w:hAnsi="Arial" w:cs="Arial"/>
        <w:sz w:val="14"/>
        <w:szCs w:val="14"/>
      </w:rPr>
      <w:fldChar w:fldCharType="separate"/>
    </w:r>
    <w:r w:rsidR="006C44C1">
      <w:rPr>
        <w:rFonts w:ascii="Arial" w:eastAsia="Arial" w:hAnsi="Arial" w:cs="Arial"/>
        <w:noProof/>
        <w:sz w:val="14"/>
        <w:szCs w:val="14"/>
      </w:rPr>
      <w:t>19</w:t>
    </w:r>
    <w:r>
      <w:rPr>
        <w:rFonts w:ascii="Arial" w:eastAsia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32F" w:rsidRDefault="0055332F" w:rsidP="00AB3CD7">
      <w:pPr>
        <w:spacing w:line="240" w:lineRule="auto"/>
        <w:ind w:left="0" w:hanging="2"/>
      </w:pPr>
      <w:r>
        <w:separator/>
      </w:r>
    </w:p>
  </w:footnote>
  <w:footnote w:type="continuationSeparator" w:id="0">
    <w:p w:rsidR="0055332F" w:rsidRDefault="0055332F" w:rsidP="00AB3CD7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D48F8"/>
    <w:multiLevelType w:val="multilevel"/>
    <w:tmpl w:val="AB1AAFF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18"/>
        <w:szCs w:val="18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AB03AE5"/>
    <w:multiLevelType w:val="multilevel"/>
    <w:tmpl w:val="32B266C4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2">
    <w:nsid w:val="44134EF2"/>
    <w:multiLevelType w:val="multilevel"/>
    <w:tmpl w:val="C706E494"/>
    <w:lvl w:ilvl="0">
      <w:start w:val="1"/>
      <w:numFmt w:val="decimal"/>
      <w:lvlText w:val="%1."/>
      <w:lvlJc w:val="left"/>
      <w:pPr>
        <w:ind w:left="661" w:hanging="661"/>
      </w:pPr>
      <w:rPr>
        <w:b/>
        <w:vertAlign w:val="baseline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  <w:vertAlign w:val="baseline"/>
      </w:rPr>
    </w:lvl>
  </w:abstractNum>
  <w:abstractNum w:abstractNumId="3">
    <w:nsid w:val="660C1AF8"/>
    <w:multiLevelType w:val="multilevel"/>
    <w:tmpl w:val="B186F068"/>
    <w:lvl w:ilvl="0">
      <w:start w:val="1"/>
      <w:numFmt w:val="upperRoman"/>
      <w:lvlText w:val="%1-"/>
      <w:lvlJc w:val="left"/>
      <w:pPr>
        <w:ind w:left="1080" w:hanging="720"/>
      </w:pPr>
      <w:rPr>
        <w:rFonts w:ascii="Rasa" w:eastAsia="Rasa" w:hAnsi="Rasa" w:cs="Rasa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54657"/>
    <w:rsid w:val="002C7EB4"/>
    <w:rsid w:val="002D39A9"/>
    <w:rsid w:val="00401CFE"/>
    <w:rsid w:val="0055332F"/>
    <w:rsid w:val="006C44C1"/>
    <w:rsid w:val="00AB3CD7"/>
    <w:rsid w:val="00C972F2"/>
    <w:rsid w:val="00DF4A2C"/>
    <w:rsid w:val="00E54657"/>
    <w:rsid w:val="00FB0BBC"/>
    <w:rsid w:val="00FF5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overflowPunct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1"/>
      <w:position w:val="-1"/>
      <w:lang w:eastAsia="zh-CN" w:bidi="hi-IN"/>
    </w:rPr>
  </w:style>
  <w:style w:type="paragraph" w:styleId="Ttulo1">
    <w:name w:val="heading 1"/>
    <w:basedOn w:val="Normal"/>
    <w:next w:val="Normal"/>
    <w:pPr>
      <w:shd w:val="clear" w:color="auto" w:fill="CCCCCC"/>
      <w:spacing w:before="240" w:after="60"/>
    </w:pPr>
    <w:rPr>
      <w:rFonts w:ascii="Arial" w:hAnsi="Arial" w:cs="Arial"/>
      <w:b/>
      <w:bCs/>
      <w:sz w:val="32"/>
      <w:szCs w:val="32"/>
    </w:rPr>
  </w:style>
  <w:style w:type="paragraph" w:styleId="Ttulo2">
    <w:name w:val="heading 2"/>
    <w:basedOn w:val="Normal"/>
    <w:next w:val="Normal"/>
    <w:pPr>
      <w:keepNext/>
      <w:keepLines/>
      <w:spacing w:before="200"/>
      <w:outlineLvl w:val="1"/>
    </w:pPr>
    <w:rPr>
      <w:rFonts w:ascii="Cambria" w:hAnsi="Cambria" w:cs="Mangal"/>
      <w:b/>
      <w:bCs/>
      <w:color w:val="4F81BD"/>
      <w:sz w:val="26"/>
      <w:szCs w:val="23"/>
    </w:rPr>
  </w:style>
  <w:style w:type="paragraph" w:styleId="Ttulo3">
    <w:name w:val="heading 3"/>
    <w:basedOn w:val="Normal"/>
    <w:next w:val="Normal"/>
    <w:pPr>
      <w:keepNext/>
      <w:ind w:left="1134" w:firstLine="0"/>
      <w:jc w:val="both"/>
      <w:outlineLvl w:val="2"/>
    </w:pPr>
    <w:rPr>
      <w:rFonts w:ascii="Arial" w:hAnsi="Arial" w:cs="Arial"/>
      <w:sz w:val="20"/>
      <w:szCs w:val="20"/>
    </w:rPr>
  </w:style>
  <w:style w:type="paragraph" w:styleId="Ttulo4">
    <w:name w:val="heading 4"/>
    <w:basedOn w:val="Normal"/>
    <w:next w:val="Normal"/>
    <w:pPr>
      <w:keepNext/>
      <w:keepLines/>
      <w:spacing w:before="200"/>
      <w:outlineLvl w:val="3"/>
    </w:pPr>
    <w:rPr>
      <w:rFonts w:ascii="Cambria" w:hAnsi="Cambria" w:cs="Mangal"/>
      <w:b/>
      <w:bCs/>
      <w:i/>
      <w:iCs/>
      <w:color w:val="4F81BD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jc w:val="center"/>
      <w:outlineLvl w:val="5"/>
    </w:pPr>
    <w:rPr>
      <w:rFonts w:ascii="Arial" w:hAnsi="Arial" w:cs="Arial"/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rPr>
      <w:rFonts w:ascii="Arial" w:eastAsia="Times New Roman" w:hAnsi="Arial" w:cs="Arial"/>
      <w:b/>
      <w:bCs/>
      <w:color w:val="00000A"/>
      <w:w w:val="100"/>
      <w:kern w:val="1"/>
      <w:position w:val="-1"/>
      <w:sz w:val="32"/>
      <w:szCs w:val="32"/>
      <w:effect w:val="none"/>
      <w:shd w:val="clear" w:color="auto" w:fill="CCCCCC"/>
      <w:vertAlign w:val="baseline"/>
      <w:cs w:val="0"/>
      <w:em w:val="none"/>
      <w:lang w:eastAsia="zh-CN" w:bidi="hi-IN"/>
    </w:rPr>
  </w:style>
  <w:style w:type="character" w:customStyle="1" w:styleId="Ttulo2Char">
    <w:name w:val="Título 2 Char"/>
    <w:rPr>
      <w:rFonts w:ascii="Cambria" w:eastAsia="Times New Roman" w:hAnsi="Cambria" w:cs="Mangal"/>
      <w:b/>
      <w:bCs/>
      <w:color w:val="4F81BD"/>
      <w:w w:val="100"/>
      <w:kern w:val="1"/>
      <w:position w:val="-1"/>
      <w:sz w:val="26"/>
      <w:szCs w:val="23"/>
      <w:effect w:val="none"/>
      <w:vertAlign w:val="baseline"/>
      <w:cs w:val="0"/>
      <w:em w:val="none"/>
      <w:lang w:eastAsia="zh-CN" w:bidi="hi-IN"/>
    </w:rPr>
  </w:style>
  <w:style w:type="character" w:customStyle="1" w:styleId="Ttulo3Char">
    <w:name w:val="Título 3 Char"/>
    <w:rPr>
      <w:rFonts w:ascii="Arial" w:eastAsia="Times New Roman" w:hAnsi="Arial" w:cs="Arial"/>
      <w:color w:val="00000A"/>
      <w:w w:val="100"/>
      <w:kern w:val="1"/>
      <w:position w:val="-1"/>
      <w:sz w:val="20"/>
      <w:szCs w:val="20"/>
      <w:effect w:val="none"/>
      <w:vertAlign w:val="baseline"/>
      <w:cs w:val="0"/>
      <w:em w:val="none"/>
      <w:lang w:eastAsia="zh-CN" w:bidi="hi-IN"/>
    </w:rPr>
  </w:style>
  <w:style w:type="character" w:customStyle="1" w:styleId="Ttulo4Char">
    <w:name w:val="Título 4 Char"/>
    <w:rPr>
      <w:rFonts w:ascii="Cambria" w:eastAsia="Times New Roman" w:hAnsi="Cambria" w:cs="Mangal"/>
      <w:b/>
      <w:bCs/>
      <w:i/>
      <w:iCs/>
      <w:color w:val="4F81BD"/>
      <w:w w:val="100"/>
      <w:kern w:val="1"/>
      <w:position w:val="-1"/>
      <w:sz w:val="24"/>
      <w:szCs w:val="21"/>
      <w:effect w:val="none"/>
      <w:vertAlign w:val="baseline"/>
      <w:cs w:val="0"/>
      <w:em w:val="none"/>
      <w:lang w:eastAsia="zh-CN" w:bidi="hi-IN"/>
    </w:rPr>
  </w:style>
  <w:style w:type="character" w:customStyle="1" w:styleId="Ttulo6Char">
    <w:name w:val="Título 6 Char"/>
    <w:rPr>
      <w:rFonts w:ascii="Arial" w:eastAsia="Times New Roman" w:hAnsi="Arial" w:cs="Arial"/>
      <w:b/>
      <w:color w:val="00000A"/>
      <w:w w:val="100"/>
      <w:kern w:val="1"/>
      <w:position w:val="-1"/>
      <w:sz w:val="20"/>
      <w:szCs w:val="20"/>
      <w:effect w:val="none"/>
      <w:vertAlign w:val="baseline"/>
      <w:cs w:val="0"/>
      <w:em w:val="none"/>
      <w:lang w:eastAsia="zh-CN" w:bidi="hi-IN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Ecofont Vera Sans" w:hAnsi="Ecofont Vera Sans" w:cs="Arial" w:hint="default"/>
      <w:w w:val="100"/>
      <w:position w:val="-1"/>
      <w:sz w:val="20"/>
      <w:szCs w:val="17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Ecofont Vera Sans" w:hAnsi="Ecofont Vera Sans" w:cs="Arial" w:hint="default"/>
      <w:w w:val="100"/>
      <w:position w:val="-1"/>
      <w:sz w:val="20"/>
      <w:szCs w:val="17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Fontepargpadro1">
    <w:name w:val="Fonte parág. padrão1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epargpadro2">
    <w:name w:val="Fonte parág. padrão2"/>
    <w:rPr>
      <w:w w:val="100"/>
      <w:position w:val="-1"/>
      <w:effect w:val="none"/>
      <w:vertAlign w:val="baseline"/>
      <w:cs w:val="0"/>
      <w:em w:val="none"/>
    </w:rPr>
  </w:style>
  <w:style w:type="character" w:customStyle="1" w:styleId="Corpodetexto21Char">
    <w:name w:val="Corpo de texto 21 Char"/>
    <w:rPr>
      <w:rFonts w:ascii="Arial" w:hAnsi="Arial" w:cs="Arial"/>
      <w:w w:val="100"/>
      <w:position w:val="-1"/>
      <w:sz w:val="22"/>
      <w:effect w:val="none"/>
      <w:vertAlign w:val="baseline"/>
      <w:cs w:val="0"/>
      <w:em w:val="none"/>
      <w:lang w:val="pt-PT" w:bidi="ar-SA"/>
    </w:rPr>
  </w:style>
  <w:style w:type="character" w:customStyle="1" w:styleId="CorpodetextoChar">
    <w:name w:val="Corpo de texto Char"/>
    <w:rPr>
      <w:rFonts w:ascii="Arial" w:eastAsia="Times New Roman" w:hAnsi="Arial" w:cs="Arial"/>
      <w:w w:val="100"/>
      <w:position w:val="-1"/>
      <w:szCs w:val="21"/>
      <w:effect w:val="none"/>
      <w:vertAlign w:val="baseline"/>
      <w:cs w:val="0"/>
      <w:em w:val="none"/>
      <w:lang w:eastAsia="zh-CN" w:bidi="hi-IN"/>
    </w:rPr>
  </w:style>
  <w:style w:type="character" w:customStyle="1" w:styleId="RecuodecorpodetextoChar">
    <w:name w:val="Recuo de corpo de texto Char"/>
    <w:rPr>
      <w:rFonts w:ascii="Arial" w:eastAsia="Times New Roman" w:hAnsi="Arial" w:cs="Arial"/>
      <w:color w:val="00000A"/>
      <w:w w:val="100"/>
      <w:position w:val="-1"/>
      <w:sz w:val="20"/>
      <w:szCs w:val="20"/>
      <w:effect w:val="none"/>
      <w:vertAlign w:val="baseline"/>
      <w:cs w:val="0"/>
      <w:em w:val="none"/>
      <w:lang w:eastAsia="zh-CN"/>
    </w:rPr>
  </w:style>
  <w:style w:type="character" w:customStyle="1" w:styleId="RodapChar">
    <w:name w:val="Rodapé Char"/>
    <w:rPr>
      <w:rFonts w:ascii="Arial" w:eastAsia="Times New Roman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pt-BR" w:eastAsia="zh-CN" w:bidi="hi-IN"/>
    </w:rPr>
  </w:style>
  <w:style w:type="character" w:customStyle="1" w:styleId="TextodebaloChar">
    <w:name w:val="Texto de balão Char"/>
    <w:rPr>
      <w:rFonts w:ascii="Tahoma" w:eastAsia="Times New Roman" w:hAnsi="Tahoma" w:cs="Mangal"/>
      <w:w w:val="100"/>
      <w:position w:val="-1"/>
      <w:sz w:val="16"/>
      <w:szCs w:val="14"/>
      <w:effect w:val="none"/>
      <w:vertAlign w:val="baseline"/>
      <w:cs w:val="0"/>
      <w:em w:val="none"/>
      <w:lang w:eastAsia="zh-CN" w:bidi="hi-IN"/>
    </w:rPr>
  </w:style>
  <w:style w:type="character" w:customStyle="1" w:styleId="ListLabel1">
    <w:name w:val="ListLabel 1"/>
    <w:rPr>
      <w:b/>
      <w:bCs/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Hyperlink">
    <w:name w:val="Hyperlink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Marcas">
    <w:name w:val="Marcas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ListLabel2">
    <w:name w:val="ListLabel 2"/>
    <w:rPr>
      <w:w w:val="100"/>
      <w:position w:val="-1"/>
      <w:effect w:val="none"/>
      <w:vertAlign w:val="baseline"/>
      <w:cs w:val="0"/>
      <w:em w:val="none"/>
    </w:rPr>
  </w:style>
  <w:style w:type="character" w:styleId="Fort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character" w:customStyle="1" w:styleId="CabealhoChar">
    <w:name w:val="Cabeçalho Char"/>
    <w:rPr>
      <w:color w:val="00000A"/>
      <w:w w:val="100"/>
      <w:kern w:val="1"/>
      <w:position w:val="-1"/>
      <w:sz w:val="24"/>
      <w:szCs w:val="21"/>
      <w:effect w:val="none"/>
      <w:vertAlign w:val="baseline"/>
      <w:cs w:val="0"/>
      <w:em w:val="none"/>
      <w:lang w:eastAsia="zh-CN" w:bidi="hi-IN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20" w:line="240" w:lineRule="atLeast"/>
      <w:jc w:val="both"/>
    </w:pPr>
    <w:rPr>
      <w:rFonts w:ascii="Arial" w:hAnsi="Arial" w:cs="Arial"/>
      <w:sz w:val="22"/>
      <w:szCs w:val="21"/>
    </w:rPr>
  </w:style>
  <w:style w:type="character" w:customStyle="1" w:styleId="CorpodetextoChar1">
    <w:name w:val="Corpo de texto Char1"/>
    <w:rPr>
      <w:rFonts w:ascii="Arial" w:eastAsia="Times New Roman" w:hAnsi="Arial" w:cs="Arial"/>
      <w:color w:val="00000A"/>
      <w:w w:val="100"/>
      <w:kern w:val="1"/>
      <w:position w:val="-1"/>
      <w:szCs w:val="21"/>
      <w:effect w:val="none"/>
      <w:vertAlign w:val="baseline"/>
      <w:cs w:val="0"/>
      <w:em w:val="none"/>
      <w:lang w:eastAsia="zh-CN" w:bidi="hi-IN"/>
    </w:rPr>
  </w:style>
  <w:style w:type="paragraph" w:styleId="Lista">
    <w:name w:val="List"/>
    <w:basedOn w:val="Corpodetexto"/>
    <w:rPr>
      <w:rFonts w:cs="FreeSans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ndice">
    <w:name w:val="Índice"/>
    <w:basedOn w:val="Normal"/>
    <w:pPr>
      <w:suppressLineNumbers/>
    </w:pPr>
    <w:rPr>
      <w:rFonts w:cs="FreeSans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WW-Padro">
    <w:name w:val="WW-Padrão"/>
    <w:pPr>
      <w:overflowPunct w:val="0"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kern w:val="1"/>
      <w:position w:val="-1"/>
      <w:lang w:eastAsia="zh-CN"/>
    </w:rPr>
  </w:style>
  <w:style w:type="paragraph" w:styleId="Recuodecorpodetexto">
    <w:name w:val="Body Text Indent"/>
    <w:basedOn w:val="WW-Padro"/>
    <w:pPr>
      <w:spacing w:after="120"/>
      <w:ind w:left="283"/>
    </w:pPr>
    <w:rPr>
      <w:rFonts w:ascii="Arial" w:hAnsi="Arial" w:cs="Arial"/>
      <w:sz w:val="20"/>
      <w:szCs w:val="20"/>
    </w:rPr>
  </w:style>
  <w:style w:type="character" w:customStyle="1" w:styleId="RecuodecorpodetextoChar1">
    <w:name w:val="Recuo de corpo de texto Char1"/>
    <w:rPr>
      <w:rFonts w:ascii="Arial" w:eastAsia="Times New Roman" w:hAnsi="Arial" w:cs="Arial"/>
      <w:color w:val="00000A"/>
      <w:w w:val="100"/>
      <w:kern w:val="1"/>
      <w:position w:val="-1"/>
      <w:sz w:val="20"/>
      <w:szCs w:val="20"/>
      <w:effect w:val="none"/>
      <w:vertAlign w:val="baseline"/>
      <w:cs w:val="0"/>
      <w:em w:val="none"/>
      <w:lang w:eastAsia="zh-CN"/>
    </w:rPr>
  </w:style>
  <w:style w:type="paragraph" w:styleId="Rodap">
    <w:name w:val="footer"/>
    <w:basedOn w:val="Normal"/>
    <w:rPr>
      <w:rFonts w:ascii="Arial" w:hAnsi="Arial" w:cs="Arial"/>
      <w:sz w:val="20"/>
      <w:szCs w:val="20"/>
    </w:rPr>
  </w:style>
  <w:style w:type="character" w:customStyle="1" w:styleId="RodapChar1">
    <w:name w:val="Rodapé Char1"/>
    <w:rPr>
      <w:rFonts w:ascii="Arial" w:eastAsia="Times New Roman" w:hAnsi="Arial" w:cs="Arial"/>
      <w:color w:val="00000A"/>
      <w:w w:val="100"/>
      <w:kern w:val="1"/>
      <w:position w:val="-1"/>
      <w:sz w:val="20"/>
      <w:szCs w:val="20"/>
      <w:effect w:val="none"/>
      <w:vertAlign w:val="baseline"/>
      <w:cs w:val="0"/>
      <w:em w:val="none"/>
      <w:lang w:eastAsia="zh-CN" w:bidi="hi-IN"/>
    </w:rPr>
  </w:style>
  <w:style w:type="paragraph" w:customStyle="1" w:styleId="PADRAO">
    <w:name w:val="PADRAO"/>
    <w:basedOn w:val="Normal"/>
    <w:pPr>
      <w:jc w:val="both"/>
    </w:pPr>
    <w:rPr>
      <w:rFonts w:ascii="Tms Rmn" w:hAnsi="Tms Rmn" w:cs="Tms Rmn"/>
      <w:szCs w:val="20"/>
    </w:rPr>
  </w:style>
  <w:style w:type="paragraph" w:customStyle="1" w:styleId="p5">
    <w:name w:val="p5"/>
    <w:basedOn w:val="Normal"/>
    <w:pPr>
      <w:ind w:left="360" w:hanging="360"/>
      <w:jc w:val="both"/>
    </w:pPr>
    <w:rPr>
      <w:rFonts w:ascii="Arial" w:hAnsi="Arial" w:cs="Arial"/>
      <w:szCs w:val="20"/>
    </w:rPr>
  </w:style>
  <w:style w:type="paragraph" w:customStyle="1" w:styleId="Recuodecorpodetexto32">
    <w:name w:val="Recuo de corpo de texto 32"/>
    <w:basedOn w:val="WW-Padro"/>
    <w:pPr>
      <w:ind w:left="1145" w:hanging="425"/>
      <w:jc w:val="both"/>
    </w:pPr>
    <w:rPr>
      <w:rFonts w:ascii="Arial" w:hAnsi="Arial" w:cs="Calibri"/>
      <w:sz w:val="22"/>
      <w:szCs w:val="20"/>
    </w:rPr>
  </w:style>
  <w:style w:type="paragraph" w:customStyle="1" w:styleId="Recuodecorpodetexto21">
    <w:name w:val="Recuo de corpo de texto 21"/>
    <w:basedOn w:val="WW-Padro"/>
    <w:pPr>
      <w:widowControl w:val="0"/>
      <w:spacing w:after="120" w:line="480" w:lineRule="auto"/>
      <w:ind w:left="283"/>
    </w:pPr>
    <w:rPr>
      <w:rFonts w:eastAsia="Lucida Sans Unicode" w:cs="Tahoma"/>
      <w:lang w:bidi="pt-BR"/>
    </w:rPr>
  </w:style>
  <w:style w:type="paragraph" w:customStyle="1" w:styleId="Textodebalo1">
    <w:name w:val="Texto de balão1"/>
    <w:basedOn w:val="Normal"/>
    <w:rPr>
      <w:rFonts w:ascii="Tahoma" w:hAnsi="Tahoma" w:cs="Mangal"/>
      <w:sz w:val="16"/>
      <w:szCs w:val="14"/>
    </w:rPr>
  </w:style>
  <w:style w:type="paragraph" w:customStyle="1" w:styleId="texto">
    <w:name w:val="texto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spacing w:line="240" w:lineRule="atLeast"/>
      <w:ind w:leftChars="-1" w:left="170" w:hangingChars="1" w:hanging="170"/>
      <w:jc w:val="both"/>
      <w:textDirection w:val="btLr"/>
      <w:textAlignment w:val="top"/>
      <w:outlineLvl w:val="0"/>
    </w:pPr>
    <w:rPr>
      <w:rFonts w:eastAsia="Arial"/>
      <w:kern w:val="1"/>
      <w:position w:val="-1"/>
      <w:lang w:eastAsia="zh-CN"/>
    </w:rPr>
  </w:style>
  <w:style w:type="paragraph" w:customStyle="1" w:styleId="Contedodatabela">
    <w:name w:val="Conteúdo da tabela"/>
    <w:basedOn w:val="Normal"/>
  </w:style>
  <w:style w:type="paragraph" w:customStyle="1" w:styleId="Ttulodetabela">
    <w:name w:val="Título de tabela"/>
    <w:basedOn w:val="Contedodatabela"/>
  </w:style>
  <w:style w:type="paragraph" w:styleId="Cabealho">
    <w:name w:val="header"/>
    <w:basedOn w:val="Normal"/>
    <w:rPr>
      <w:rFonts w:cs="Mangal"/>
      <w:szCs w:val="21"/>
    </w:rPr>
  </w:style>
  <w:style w:type="character" w:customStyle="1" w:styleId="CabealhoChar1">
    <w:name w:val="Cabeçalho Char1"/>
    <w:rPr>
      <w:rFonts w:ascii="Times New Roman" w:eastAsia="Times New Roman" w:hAnsi="Times New Roman" w:cs="Mangal"/>
      <w:color w:val="00000A"/>
      <w:w w:val="100"/>
      <w:kern w:val="1"/>
      <w:position w:val="-1"/>
      <w:sz w:val="24"/>
      <w:szCs w:val="21"/>
      <w:effect w:val="none"/>
      <w:vertAlign w:val="baseline"/>
      <w:cs w:val="0"/>
      <w:em w:val="none"/>
      <w:lang w:eastAsia="zh-CN" w:bidi="hi-IN"/>
    </w:rPr>
  </w:style>
  <w:style w:type="paragraph" w:customStyle="1" w:styleId="Standard">
    <w:name w:val="Standard"/>
    <w:pPr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1"/>
      <w:position w:val="-1"/>
      <w:lang w:eastAsia="zh-CN"/>
    </w:rPr>
  </w:style>
  <w:style w:type="paragraph" w:customStyle="1" w:styleId="Ttulodalista">
    <w:name w:val="Título da lista"/>
    <w:basedOn w:val="Normal"/>
    <w:next w:val="Contedodalista"/>
  </w:style>
  <w:style w:type="paragraph" w:customStyle="1" w:styleId="Contedodalista">
    <w:name w:val="Conteúdo da lista"/>
    <w:basedOn w:val="Normal"/>
    <w:pPr>
      <w:ind w:left="567"/>
    </w:pPr>
  </w:style>
  <w:style w:type="paragraph" w:styleId="Textodebalo">
    <w:name w:val="Balloon Text"/>
    <w:basedOn w:val="Normal"/>
    <w:qFormat/>
    <w:rPr>
      <w:rFonts w:ascii="Segoe UI" w:hAnsi="Segoe UI" w:cs="Mangal"/>
      <w:sz w:val="18"/>
      <w:szCs w:val="16"/>
    </w:rPr>
  </w:style>
  <w:style w:type="character" w:customStyle="1" w:styleId="TextodebaloChar1">
    <w:name w:val="Texto de balão Char1"/>
    <w:rPr>
      <w:rFonts w:ascii="Segoe UI" w:eastAsia="Times New Roman" w:hAnsi="Segoe UI" w:cs="Mangal"/>
      <w:color w:val="00000A"/>
      <w:w w:val="100"/>
      <w:kern w:val="1"/>
      <w:position w:val="-1"/>
      <w:sz w:val="18"/>
      <w:szCs w:val="16"/>
      <w:effect w:val="none"/>
      <w:vertAlign w:val="baseline"/>
      <w:cs w:val="0"/>
      <w:em w:val="none"/>
      <w:lang w:eastAsia="zh-CN" w:bidi="hi-IN"/>
    </w:rPr>
  </w:style>
  <w:style w:type="paragraph" w:customStyle="1" w:styleId="LO-Normal">
    <w:name w:val="LO-Normal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eastAsia="SimSun" w:cs="Tahoma"/>
      <w:kern w:val="2"/>
      <w:position w:val="-1"/>
      <w:lang w:eastAsia="zh-CN" w:bidi="hi-IN"/>
    </w:rPr>
  </w:style>
  <w:style w:type="paragraph" w:styleId="PargrafodaLista">
    <w:name w:val="List Paragraph"/>
    <w:basedOn w:val="Normal"/>
    <w:pPr>
      <w:ind w:left="720"/>
      <w:contextualSpacing/>
    </w:pPr>
    <w:rPr>
      <w:rFonts w:cs="Mangal"/>
      <w:szCs w:val="21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overflowPunct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1"/>
      <w:position w:val="-1"/>
      <w:lang w:eastAsia="zh-CN" w:bidi="hi-IN"/>
    </w:rPr>
  </w:style>
  <w:style w:type="paragraph" w:styleId="Ttulo1">
    <w:name w:val="heading 1"/>
    <w:basedOn w:val="Normal"/>
    <w:next w:val="Normal"/>
    <w:pPr>
      <w:shd w:val="clear" w:color="auto" w:fill="CCCCCC"/>
      <w:spacing w:before="240" w:after="60"/>
    </w:pPr>
    <w:rPr>
      <w:rFonts w:ascii="Arial" w:hAnsi="Arial" w:cs="Arial"/>
      <w:b/>
      <w:bCs/>
      <w:sz w:val="32"/>
      <w:szCs w:val="32"/>
    </w:rPr>
  </w:style>
  <w:style w:type="paragraph" w:styleId="Ttulo2">
    <w:name w:val="heading 2"/>
    <w:basedOn w:val="Normal"/>
    <w:next w:val="Normal"/>
    <w:pPr>
      <w:keepNext/>
      <w:keepLines/>
      <w:spacing w:before="200"/>
      <w:outlineLvl w:val="1"/>
    </w:pPr>
    <w:rPr>
      <w:rFonts w:ascii="Cambria" w:hAnsi="Cambria" w:cs="Mangal"/>
      <w:b/>
      <w:bCs/>
      <w:color w:val="4F81BD"/>
      <w:sz w:val="26"/>
      <w:szCs w:val="23"/>
    </w:rPr>
  </w:style>
  <w:style w:type="paragraph" w:styleId="Ttulo3">
    <w:name w:val="heading 3"/>
    <w:basedOn w:val="Normal"/>
    <w:next w:val="Normal"/>
    <w:pPr>
      <w:keepNext/>
      <w:ind w:left="1134" w:firstLine="0"/>
      <w:jc w:val="both"/>
      <w:outlineLvl w:val="2"/>
    </w:pPr>
    <w:rPr>
      <w:rFonts w:ascii="Arial" w:hAnsi="Arial" w:cs="Arial"/>
      <w:sz w:val="20"/>
      <w:szCs w:val="20"/>
    </w:rPr>
  </w:style>
  <w:style w:type="paragraph" w:styleId="Ttulo4">
    <w:name w:val="heading 4"/>
    <w:basedOn w:val="Normal"/>
    <w:next w:val="Normal"/>
    <w:pPr>
      <w:keepNext/>
      <w:keepLines/>
      <w:spacing w:before="200"/>
      <w:outlineLvl w:val="3"/>
    </w:pPr>
    <w:rPr>
      <w:rFonts w:ascii="Cambria" w:hAnsi="Cambria" w:cs="Mangal"/>
      <w:b/>
      <w:bCs/>
      <w:i/>
      <w:iCs/>
      <w:color w:val="4F81BD"/>
      <w:szCs w:val="21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jc w:val="center"/>
      <w:outlineLvl w:val="5"/>
    </w:pPr>
    <w:rPr>
      <w:rFonts w:ascii="Arial" w:hAnsi="Arial" w:cs="Arial"/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rPr>
      <w:rFonts w:ascii="Arial" w:eastAsia="Times New Roman" w:hAnsi="Arial" w:cs="Arial"/>
      <w:b/>
      <w:bCs/>
      <w:color w:val="00000A"/>
      <w:w w:val="100"/>
      <w:kern w:val="1"/>
      <w:position w:val="-1"/>
      <w:sz w:val="32"/>
      <w:szCs w:val="32"/>
      <w:effect w:val="none"/>
      <w:shd w:val="clear" w:color="auto" w:fill="CCCCCC"/>
      <w:vertAlign w:val="baseline"/>
      <w:cs w:val="0"/>
      <w:em w:val="none"/>
      <w:lang w:eastAsia="zh-CN" w:bidi="hi-IN"/>
    </w:rPr>
  </w:style>
  <w:style w:type="character" w:customStyle="1" w:styleId="Ttulo2Char">
    <w:name w:val="Título 2 Char"/>
    <w:rPr>
      <w:rFonts w:ascii="Cambria" w:eastAsia="Times New Roman" w:hAnsi="Cambria" w:cs="Mangal"/>
      <w:b/>
      <w:bCs/>
      <w:color w:val="4F81BD"/>
      <w:w w:val="100"/>
      <w:kern w:val="1"/>
      <w:position w:val="-1"/>
      <w:sz w:val="26"/>
      <w:szCs w:val="23"/>
      <w:effect w:val="none"/>
      <w:vertAlign w:val="baseline"/>
      <w:cs w:val="0"/>
      <w:em w:val="none"/>
      <w:lang w:eastAsia="zh-CN" w:bidi="hi-IN"/>
    </w:rPr>
  </w:style>
  <w:style w:type="character" w:customStyle="1" w:styleId="Ttulo3Char">
    <w:name w:val="Título 3 Char"/>
    <w:rPr>
      <w:rFonts w:ascii="Arial" w:eastAsia="Times New Roman" w:hAnsi="Arial" w:cs="Arial"/>
      <w:color w:val="00000A"/>
      <w:w w:val="100"/>
      <w:kern w:val="1"/>
      <w:position w:val="-1"/>
      <w:sz w:val="20"/>
      <w:szCs w:val="20"/>
      <w:effect w:val="none"/>
      <w:vertAlign w:val="baseline"/>
      <w:cs w:val="0"/>
      <w:em w:val="none"/>
      <w:lang w:eastAsia="zh-CN" w:bidi="hi-IN"/>
    </w:rPr>
  </w:style>
  <w:style w:type="character" w:customStyle="1" w:styleId="Ttulo4Char">
    <w:name w:val="Título 4 Char"/>
    <w:rPr>
      <w:rFonts w:ascii="Cambria" w:eastAsia="Times New Roman" w:hAnsi="Cambria" w:cs="Mangal"/>
      <w:b/>
      <w:bCs/>
      <w:i/>
      <w:iCs/>
      <w:color w:val="4F81BD"/>
      <w:w w:val="100"/>
      <w:kern w:val="1"/>
      <w:position w:val="-1"/>
      <w:sz w:val="24"/>
      <w:szCs w:val="21"/>
      <w:effect w:val="none"/>
      <w:vertAlign w:val="baseline"/>
      <w:cs w:val="0"/>
      <w:em w:val="none"/>
      <w:lang w:eastAsia="zh-CN" w:bidi="hi-IN"/>
    </w:rPr>
  </w:style>
  <w:style w:type="character" w:customStyle="1" w:styleId="Ttulo6Char">
    <w:name w:val="Título 6 Char"/>
    <w:rPr>
      <w:rFonts w:ascii="Arial" w:eastAsia="Times New Roman" w:hAnsi="Arial" w:cs="Arial"/>
      <w:b/>
      <w:color w:val="00000A"/>
      <w:w w:val="100"/>
      <w:kern w:val="1"/>
      <w:position w:val="-1"/>
      <w:sz w:val="20"/>
      <w:szCs w:val="20"/>
      <w:effect w:val="none"/>
      <w:vertAlign w:val="baseline"/>
      <w:cs w:val="0"/>
      <w:em w:val="none"/>
      <w:lang w:eastAsia="zh-CN" w:bidi="hi-IN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Ecofont Vera Sans" w:hAnsi="Ecofont Vera Sans" w:cs="Arial" w:hint="default"/>
      <w:w w:val="100"/>
      <w:position w:val="-1"/>
      <w:sz w:val="20"/>
      <w:szCs w:val="17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Ecofont Vera Sans" w:hAnsi="Ecofont Vera Sans" w:cs="Arial" w:hint="default"/>
      <w:w w:val="100"/>
      <w:position w:val="-1"/>
      <w:sz w:val="20"/>
      <w:szCs w:val="17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b/>
      <w:w w:val="100"/>
      <w:position w:val="-1"/>
      <w:effect w:val="none"/>
      <w:vertAlign w:val="baseline"/>
      <w:cs w:val="0"/>
      <w:em w:val="none"/>
    </w:rPr>
  </w:style>
  <w:style w:type="character" w:customStyle="1" w:styleId="Fontepargpadro1">
    <w:name w:val="Fonte parág. padrão1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epargpadro2">
    <w:name w:val="Fonte parág. padrão2"/>
    <w:rPr>
      <w:w w:val="100"/>
      <w:position w:val="-1"/>
      <w:effect w:val="none"/>
      <w:vertAlign w:val="baseline"/>
      <w:cs w:val="0"/>
      <w:em w:val="none"/>
    </w:rPr>
  </w:style>
  <w:style w:type="character" w:customStyle="1" w:styleId="Corpodetexto21Char">
    <w:name w:val="Corpo de texto 21 Char"/>
    <w:rPr>
      <w:rFonts w:ascii="Arial" w:hAnsi="Arial" w:cs="Arial"/>
      <w:w w:val="100"/>
      <w:position w:val="-1"/>
      <w:sz w:val="22"/>
      <w:effect w:val="none"/>
      <w:vertAlign w:val="baseline"/>
      <w:cs w:val="0"/>
      <w:em w:val="none"/>
      <w:lang w:val="pt-PT" w:bidi="ar-SA"/>
    </w:rPr>
  </w:style>
  <w:style w:type="character" w:customStyle="1" w:styleId="CorpodetextoChar">
    <w:name w:val="Corpo de texto Char"/>
    <w:rPr>
      <w:rFonts w:ascii="Arial" w:eastAsia="Times New Roman" w:hAnsi="Arial" w:cs="Arial"/>
      <w:w w:val="100"/>
      <w:position w:val="-1"/>
      <w:szCs w:val="21"/>
      <w:effect w:val="none"/>
      <w:vertAlign w:val="baseline"/>
      <w:cs w:val="0"/>
      <w:em w:val="none"/>
      <w:lang w:eastAsia="zh-CN" w:bidi="hi-IN"/>
    </w:rPr>
  </w:style>
  <w:style w:type="character" w:customStyle="1" w:styleId="RecuodecorpodetextoChar">
    <w:name w:val="Recuo de corpo de texto Char"/>
    <w:rPr>
      <w:rFonts w:ascii="Arial" w:eastAsia="Times New Roman" w:hAnsi="Arial" w:cs="Arial"/>
      <w:color w:val="00000A"/>
      <w:w w:val="100"/>
      <w:position w:val="-1"/>
      <w:sz w:val="20"/>
      <w:szCs w:val="20"/>
      <w:effect w:val="none"/>
      <w:vertAlign w:val="baseline"/>
      <w:cs w:val="0"/>
      <w:em w:val="none"/>
      <w:lang w:eastAsia="zh-CN"/>
    </w:rPr>
  </w:style>
  <w:style w:type="character" w:customStyle="1" w:styleId="RodapChar">
    <w:name w:val="Rodapé Char"/>
    <w:rPr>
      <w:rFonts w:ascii="Arial" w:eastAsia="Times New Roman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pt-BR" w:eastAsia="zh-CN" w:bidi="hi-IN"/>
    </w:rPr>
  </w:style>
  <w:style w:type="character" w:customStyle="1" w:styleId="TextodebaloChar">
    <w:name w:val="Texto de balão Char"/>
    <w:rPr>
      <w:rFonts w:ascii="Tahoma" w:eastAsia="Times New Roman" w:hAnsi="Tahoma" w:cs="Mangal"/>
      <w:w w:val="100"/>
      <w:position w:val="-1"/>
      <w:sz w:val="16"/>
      <w:szCs w:val="14"/>
      <w:effect w:val="none"/>
      <w:vertAlign w:val="baseline"/>
      <w:cs w:val="0"/>
      <w:em w:val="none"/>
      <w:lang w:eastAsia="zh-CN" w:bidi="hi-IN"/>
    </w:rPr>
  </w:style>
  <w:style w:type="character" w:customStyle="1" w:styleId="ListLabel1">
    <w:name w:val="ListLabel 1"/>
    <w:rPr>
      <w:b/>
      <w:bCs/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Hyperlink">
    <w:name w:val="Hyperlink"/>
    <w:rPr>
      <w:color w:val="00008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Marcas">
    <w:name w:val="Marcas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ListLabel2">
    <w:name w:val="ListLabel 2"/>
    <w:rPr>
      <w:w w:val="100"/>
      <w:position w:val="-1"/>
      <w:effect w:val="none"/>
      <w:vertAlign w:val="baseline"/>
      <w:cs w:val="0"/>
      <w:em w:val="none"/>
    </w:rPr>
  </w:style>
  <w:style w:type="character" w:styleId="Fort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character" w:customStyle="1" w:styleId="CabealhoChar">
    <w:name w:val="Cabeçalho Char"/>
    <w:rPr>
      <w:color w:val="00000A"/>
      <w:w w:val="100"/>
      <w:kern w:val="1"/>
      <w:position w:val="-1"/>
      <w:sz w:val="24"/>
      <w:szCs w:val="21"/>
      <w:effect w:val="none"/>
      <w:vertAlign w:val="baseline"/>
      <w:cs w:val="0"/>
      <w:em w:val="none"/>
      <w:lang w:eastAsia="zh-CN" w:bidi="hi-IN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texto">
    <w:name w:val="Body Text"/>
    <w:basedOn w:val="Normal"/>
    <w:pPr>
      <w:spacing w:after="120" w:line="240" w:lineRule="atLeast"/>
      <w:jc w:val="both"/>
    </w:pPr>
    <w:rPr>
      <w:rFonts w:ascii="Arial" w:hAnsi="Arial" w:cs="Arial"/>
      <w:sz w:val="22"/>
      <w:szCs w:val="21"/>
    </w:rPr>
  </w:style>
  <w:style w:type="character" w:customStyle="1" w:styleId="CorpodetextoChar1">
    <w:name w:val="Corpo de texto Char1"/>
    <w:rPr>
      <w:rFonts w:ascii="Arial" w:eastAsia="Times New Roman" w:hAnsi="Arial" w:cs="Arial"/>
      <w:color w:val="00000A"/>
      <w:w w:val="100"/>
      <w:kern w:val="1"/>
      <w:position w:val="-1"/>
      <w:szCs w:val="21"/>
      <w:effect w:val="none"/>
      <w:vertAlign w:val="baseline"/>
      <w:cs w:val="0"/>
      <w:em w:val="none"/>
      <w:lang w:eastAsia="zh-CN" w:bidi="hi-IN"/>
    </w:rPr>
  </w:style>
  <w:style w:type="paragraph" w:styleId="Lista">
    <w:name w:val="List"/>
    <w:basedOn w:val="Corpodetexto"/>
    <w:rPr>
      <w:rFonts w:cs="FreeSans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ndice">
    <w:name w:val="Índice"/>
    <w:basedOn w:val="Normal"/>
    <w:pPr>
      <w:suppressLineNumbers/>
    </w:pPr>
    <w:rPr>
      <w:rFonts w:cs="FreeSans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WW-Padro">
    <w:name w:val="WW-Padrão"/>
    <w:pPr>
      <w:overflowPunct w:val="0"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kern w:val="1"/>
      <w:position w:val="-1"/>
      <w:lang w:eastAsia="zh-CN"/>
    </w:rPr>
  </w:style>
  <w:style w:type="paragraph" w:styleId="Recuodecorpodetexto">
    <w:name w:val="Body Text Indent"/>
    <w:basedOn w:val="WW-Padro"/>
    <w:pPr>
      <w:spacing w:after="120"/>
      <w:ind w:left="283"/>
    </w:pPr>
    <w:rPr>
      <w:rFonts w:ascii="Arial" w:hAnsi="Arial" w:cs="Arial"/>
      <w:sz w:val="20"/>
      <w:szCs w:val="20"/>
    </w:rPr>
  </w:style>
  <w:style w:type="character" w:customStyle="1" w:styleId="RecuodecorpodetextoChar1">
    <w:name w:val="Recuo de corpo de texto Char1"/>
    <w:rPr>
      <w:rFonts w:ascii="Arial" w:eastAsia="Times New Roman" w:hAnsi="Arial" w:cs="Arial"/>
      <w:color w:val="00000A"/>
      <w:w w:val="100"/>
      <w:kern w:val="1"/>
      <w:position w:val="-1"/>
      <w:sz w:val="20"/>
      <w:szCs w:val="20"/>
      <w:effect w:val="none"/>
      <w:vertAlign w:val="baseline"/>
      <w:cs w:val="0"/>
      <w:em w:val="none"/>
      <w:lang w:eastAsia="zh-CN"/>
    </w:rPr>
  </w:style>
  <w:style w:type="paragraph" w:styleId="Rodap">
    <w:name w:val="footer"/>
    <w:basedOn w:val="Normal"/>
    <w:rPr>
      <w:rFonts w:ascii="Arial" w:hAnsi="Arial" w:cs="Arial"/>
      <w:sz w:val="20"/>
      <w:szCs w:val="20"/>
    </w:rPr>
  </w:style>
  <w:style w:type="character" w:customStyle="1" w:styleId="RodapChar1">
    <w:name w:val="Rodapé Char1"/>
    <w:rPr>
      <w:rFonts w:ascii="Arial" w:eastAsia="Times New Roman" w:hAnsi="Arial" w:cs="Arial"/>
      <w:color w:val="00000A"/>
      <w:w w:val="100"/>
      <w:kern w:val="1"/>
      <w:position w:val="-1"/>
      <w:sz w:val="20"/>
      <w:szCs w:val="20"/>
      <w:effect w:val="none"/>
      <w:vertAlign w:val="baseline"/>
      <w:cs w:val="0"/>
      <w:em w:val="none"/>
      <w:lang w:eastAsia="zh-CN" w:bidi="hi-IN"/>
    </w:rPr>
  </w:style>
  <w:style w:type="paragraph" w:customStyle="1" w:styleId="PADRAO">
    <w:name w:val="PADRAO"/>
    <w:basedOn w:val="Normal"/>
    <w:pPr>
      <w:jc w:val="both"/>
    </w:pPr>
    <w:rPr>
      <w:rFonts w:ascii="Tms Rmn" w:hAnsi="Tms Rmn" w:cs="Tms Rmn"/>
      <w:szCs w:val="20"/>
    </w:rPr>
  </w:style>
  <w:style w:type="paragraph" w:customStyle="1" w:styleId="p5">
    <w:name w:val="p5"/>
    <w:basedOn w:val="Normal"/>
    <w:pPr>
      <w:ind w:left="360" w:hanging="360"/>
      <w:jc w:val="both"/>
    </w:pPr>
    <w:rPr>
      <w:rFonts w:ascii="Arial" w:hAnsi="Arial" w:cs="Arial"/>
      <w:szCs w:val="20"/>
    </w:rPr>
  </w:style>
  <w:style w:type="paragraph" w:customStyle="1" w:styleId="Recuodecorpodetexto32">
    <w:name w:val="Recuo de corpo de texto 32"/>
    <w:basedOn w:val="WW-Padro"/>
    <w:pPr>
      <w:ind w:left="1145" w:hanging="425"/>
      <w:jc w:val="both"/>
    </w:pPr>
    <w:rPr>
      <w:rFonts w:ascii="Arial" w:hAnsi="Arial" w:cs="Calibri"/>
      <w:sz w:val="22"/>
      <w:szCs w:val="20"/>
    </w:rPr>
  </w:style>
  <w:style w:type="paragraph" w:customStyle="1" w:styleId="Recuodecorpodetexto21">
    <w:name w:val="Recuo de corpo de texto 21"/>
    <w:basedOn w:val="WW-Padro"/>
    <w:pPr>
      <w:widowControl w:val="0"/>
      <w:spacing w:after="120" w:line="480" w:lineRule="auto"/>
      <w:ind w:left="283"/>
    </w:pPr>
    <w:rPr>
      <w:rFonts w:eastAsia="Lucida Sans Unicode" w:cs="Tahoma"/>
      <w:lang w:bidi="pt-BR"/>
    </w:rPr>
  </w:style>
  <w:style w:type="paragraph" w:customStyle="1" w:styleId="Textodebalo1">
    <w:name w:val="Texto de balão1"/>
    <w:basedOn w:val="Normal"/>
    <w:rPr>
      <w:rFonts w:ascii="Tahoma" w:hAnsi="Tahoma" w:cs="Mangal"/>
      <w:sz w:val="16"/>
      <w:szCs w:val="14"/>
    </w:rPr>
  </w:style>
  <w:style w:type="paragraph" w:customStyle="1" w:styleId="texto">
    <w:name w:val="texto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spacing w:line="240" w:lineRule="atLeast"/>
      <w:ind w:leftChars="-1" w:left="170" w:hangingChars="1" w:hanging="170"/>
      <w:jc w:val="both"/>
      <w:textDirection w:val="btLr"/>
      <w:textAlignment w:val="top"/>
      <w:outlineLvl w:val="0"/>
    </w:pPr>
    <w:rPr>
      <w:rFonts w:eastAsia="Arial"/>
      <w:kern w:val="1"/>
      <w:position w:val="-1"/>
      <w:lang w:eastAsia="zh-CN"/>
    </w:rPr>
  </w:style>
  <w:style w:type="paragraph" w:customStyle="1" w:styleId="Contedodatabela">
    <w:name w:val="Conteúdo da tabela"/>
    <w:basedOn w:val="Normal"/>
  </w:style>
  <w:style w:type="paragraph" w:customStyle="1" w:styleId="Ttulodetabela">
    <w:name w:val="Título de tabela"/>
    <w:basedOn w:val="Contedodatabela"/>
  </w:style>
  <w:style w:type="paragraph" w:styleId="Cabealho">
    <w:name w:val="header"/>
    <w:basedOn w:val="Normal"/>
    <w:rPr>
      <w:rFonts w:cs="Mangal"/>
      <w:szCs w:val="21"/>
    </w:rPr>
  </w:style>
  <w:style w:type="character" w:customStyle="1" w:styleId="CabealhoChar1">
    <w:name w:val="Cabeçalho Char1"/>
    <w:rPr>
      <w:rFonts w:ascii="Times New Roman" w:eastAsia="Times New Roman" w:hAnsi="Times New Roman" w:cs="Mangal"/>
      <w:color w:val="00000A"/>
      <w:w w:val="100"/>
      <w:kern w:val="1"/>
      <w:position w:val="-1"/>
      <w:sz w:val="24"/>
      <w:szCs w:val="21"/>
      <w:effect w:val="none"/>
      <w:vertAlign w:val="baseline"/>
      <w:cs w:val="0"/>
      <w:em w:val="none"/>
      <w:lang w:eastAsia="zh-CN" w:bidi="hi-IN"/>
    </w:rPr>
  </w:style>
  <w:style w:type="paragraph" w:customStyle="1" w:styleId="Standard">
    <w:name w:val="Standard"/>
    <w:pPr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1"/>
      <w:position w:val="-1"/>
      <w:lang w:eastAsia="zh-CN"/>
    </w:rPr>
  </w:style>
  <w:style w:type="paragraph" w:customStyle="1" w:styleId="Ttulodalista">
    <w:name w:val="Título da lista"/>
    <w:basedOn w:val="Normal"/>
    <w:next w:val="Contedodalista"/>
  </w:style>
  <w:style w:type="paragraph" w:customStyle="1" w:styleId="Contedodalista">
    <w:name w:val="Conteúdo da lista"/>
    <w:basedOn w:val="Normal"/>
    <w:pPr>
      <w:ind w:left="567"/>
    </w:pPr>
  </w:style>
  <w:style w:type="paragraph" w:styleId="Textodebalo">
    <w:name w:val="Balloon Text"/>
    <w:basedOn w:val="Normal"/>
    <w:qFormat/>
    <w:rPr>
      <w:rFonts w:ascii="Segoe UI" w:hAnsi="Segoe UI" w:cs="Mangal"/>
      <w:sz w:val="18"/>
      <w:szCs w:val="16"/>
    </w:rPr>
  </w:style>
  <w:style w:type="character" w:customStyle="1" w:styleId="TextodebaloChar1">
    <w:name w:val="Texto de balão Char1"/>
    <w:rPr>
      <w:rFonts w:ascii="Segoe UI" w:eastAsia="Times New Roman" w:hAnsi="Segoe UI" w:cs="Mangal"/>
      <w:color w:val="00000A"/>
      <w:w w:val="100"/>
      <w:kern w:val="1"/>
      <w:position w:val="-1"/>
      <w:sz w:val="18"/>
      <w:szCs w:val="16"/>
      <w:effect w:val="none"/>
      <w:vertAlign w:val="baseline"/>
      <w:cs w:val="0"/>
      <w:em w:val="none"/>
      <w:lang w:eastAsia="zh-CN" w:bidi="hi-IN"/>
    </w:rPr>
  </w:style>
  <w:style w:type="paragraph" w:customStyle="1" w:styleId="LO-Normal">
    <w:name w:val="LO-Normal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eastAsia="SimSun" w:cs="Tahoma"/>
      <w:kern w:val="2"/>
      <w:position w:val="-1"/>
      <w:lang w:eastAsia="zh-CN" w:bidi="hi-IN"/>
    </w:rPr>
  </w:style>
  <w:style w:type="paragraph" w:styleId="PargrafodaLista">
    <w:name w:val="List Paragraph"/>
    <w:basedOn w:val="Normal"/>
    <w:pPr>
      <w:ind w:left="720"/>
      <w:contextualSpacing/>
    </w:pPr>
    <w:rPr>
      <w:rFonts w:cs="Mangal"/>
      <w:szCs w:val="21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comprasnet.com.br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hB5IHh8uOM7iF3CRMMjRYvVJCg==">AMUW2mVHuQUYB5+WDgz8yo5HmjlpEVipNWIYtSBzTsNuLCYB8klTxB2uhvpkmprAPD+hITEY5uLffl6pKMP/GJYEzARzI+yoF4JW1Lv54b08Ym5JnZ6claF9Vnnzoz1qE/dHu39UFxokbJ2GNftDyyNXOIKg4ErHOw==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8475</Words>
  <Characters>45769</Characters>
  <Application>Microsoft Office Word</Application>
  <DocSecurity>0</DocSecurity>
  <Lines>381</Lines>
  <Paragraphs>108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UFPA</Company>
  <LinksUpToDate>false</LinksUpToDate>
  <CharactersWithSpaces>54136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DCS/PROAD</dc:creator>
  <cp:lastModifiedBy>Edson Louzada</cp:lastModifiedBy>
  <cp:revision>3</cp:revision>
  <dcterms:created xsi:type="dcterms:W3CDTF">2022-04-20T23:43:00Z</dcterms:created>
  <dcterms:modified xsi:type="dcterms:W3CDTF">2022-04-20T23:43:00Z</dcterms:modified>
</cp:coreProperties>
</file>